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71FE3EB">
      <w:pPr>
        <w:ind w:firstLine="0"/>
        <w:jc w:val="center"/>
        <w:outlineLvl w:val="0"/>
        <w:rPr>
          <w:rFonts w:hint="eastAsia" w:ascii="宋体" w:hAnsi="宋体" w:cs="宋体"/>
          <w:b/>
          <w:color w:val="auto"/>
          <w:sz w:val="96"/>
          <w:szCs w:val="28"/>
          <w:highlight w:val="none"/>
        </w:rPr>
      </w:pPr>
      <w:bookmarkStart w:id="0" w:name="_Toc1196"/>
      <w:bookmarkStart w:id="1" w:name="_Toc14702"/>
    </w:p>
    <w:p w14:paraId="0C6722DC">
      <w:pPr>
        <w:ind w:firstLine="0"/>
        <w:jc w:val="center"/>
        <w:outlineLvl w:val="0"/>
        <w:rPr>
          <w:rFonts w:ascii="宋体" w:hAnsi="宋体" w:cs="宋体"/>
          <w:b/>
          <w:bCs/>
          <w:color w:val="auto"/>
          <w:sz w:val="32"/>
          <w:highlight w:val="none"/>
        </w:rPr>
      </w:pPr>
      <w:r>
        <w:rPr>
          <w:rFonts w:hint="eastAsia" w:ascii="宋体" w:hAnsi="宋体" w:cs="宋体"/>
          <w:b/>
          <w:color w:val="auto"/>
          <w:sz w:val="96"/>
          <w:szCs w:val="28"/>
          <w:highlight w:val="none"/>
        </w:rPr>
        <w:t>竞争性磋商文件</w:t>
      </w:r>
      <w:bookmarkEnd w:id="0"/>
      <w:bookmarkEnd w:id="1"/>
    </w:p>
    <w:p w14:paraId="45AA553F">
      <w:pPr>
        <w:pStyle w:val="48"/>
        <w:rPr>
          <w:rFonts w:ascii="宋体" w:hAnsi="宋体" w:cs="宋体"/>
          <w:b/>
          <w:bCs/>
          <w:color w:val="auto"/>
          <w:sz w:val="32"/>
          <w:highlight w:val="none"/>
        </w:rPr>
      </w:pPr>
    </w:p>
    <w:p w14:paraId="1557542C">
      <w:pPr>
        <w:pStyle w:val="48"/>
        <w:rPr>
          <w:rFonts w:ascii="宋体" w:hAnsi="宋体" w:cs="宋体"/>
          <w:b/>
          <w:bCs/>
          <w:color w:val="auto"/>
          <w:sz w:val="32"/>
          <w:highlight w:val="none"/>
        </w:rPr>
      </w:pPr>
    </w:p>
    <w:p w14:paraId="78DF271B">
      <w:pPr>
        <w:pStyle w:val="48"/>
        <w:rPr>
          <w:rFonts w:ascii="宋体" w:hAnsi="宋体" w:cs="宋体"/>
          <w:b/>
          <w:bCs/>
          <w:color w:val="auto"/>
          <w:sz w:val="32"/>
          <w:highlight w:val="none"/>
        </w:rPr>
      </w:pPr>
    </w:p>
    <w:p w14:paraId="5611DFD2">
      <w:pPr>
        <w:pStyle w:val="48"/>
        <w:rPr>
          <w:rFonts w:ascii="宋体" w:hAnsi="宋体" w:cs="宋体"/>
          <w:b/>
          <w:bCs/>
          <w:color w:val="auto"/>
          <w:sz w:val="32"/>
          <w:highlight w:val="none"/>
        </w:rPr>
      </w:pPr>
    </w:p>
    <w:p w14:paraId="5AC64737">
      <w:pPr>
        <w:ind w:firstLine="1526"/>
        <w:rPr>
          <w:rFonts w:ascii="宋体" w:hAnsi="宋体" w:cs="宋体"/>
          <w:b/>
          <w:bCs/>
          <w:color w:val="auto"/>
          <w:sz w:val="32"/>
          <w:highlight w:val="none"/>
        </w:rPr>
      </w:pPr>
    </w:p>
    <w:p w14:paraId="52216342">
      <w:pPr>
        <w:ind w:firstLine="1526"/>
        <w:rPr>
          <w:rFonts w:ascii="宋体" w:hAnsi="宋体" w:cs="宋体"/>
          <w:b/>
          <w:bCs/>
          <w:color w:val="auto"/>
          <w:sz w:val="32"/>
          <w:highlight w:val="none"/>
        </w:rPr>
      </w:pPr>
    </w:p>
    <w:p w14:paraId="5200BF1F">
      <w:pPr>
        <w:jc w:val="both"/>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lang w:eastAsia="zh-CN"/>
        </w:rPr>
        <w:t>东海县驼峰乡清扫保洁外包项目</w:t>
      </w:r>
    </w:p>
    <w:p w14:paraId="59020430">
      <w:pPr>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项目编号：</w:t>
      </w:r>
      <w:r>
        <w:rPr>
          <w:rFonts w:hint="eastAsia" w:ascii="宋体" w:hAnsi="宋体" w:cs="宋体"/>
          <w:b/>
          <w:bCs/>
          <w:color w:val="auto"/>
          <w:sz w:val="32"/>
          <w:szCs w:val="32"/>
          <w:highlight w:val="none"/>
          <w:lang w:eastAsia="zh-CN"/>
        </w:rPr>
        <w:t>JSZC-320722-MKGC-C2025-0005</w:t>
      </w:r>
    </w:p>
    <w:p w14:paraId="4B70C52F">
      <w:pPr>
        <w:rPr>
          <w:rFonts w:hint="eastAsia" w:ascii="宋体" w:hAnsi="宋体" w:cs="宋体"/>
          <w:b/>
          <w:bCs/>
          <w:color w:val="auto"/>
          <w:sz w:val="32"/>
          <w:szCs w:val="32"/>
          <w:highlight w:val="none"/>
          <w:lang w:eastAsia="zh-CN"/>
        </w:rPr>
      </w:pPr>
    </w:p>
    <w:p w14:paraId="366DDFEE">
      <w:pPr>
        <w:rPr>
          <w:rFonts w:hint="eastAsia" w:ascii="宋体" w:hAnsi="宋体" w:cs="宋体"/>
          <w:b/>
          <w:bCs/>
          <w:color w:val="auto"/>
          <w:sz w:val="32"/>
          <w:szCs w:val="32"/>
          <w:highlight w:val="none"/>
          <w:lang w:eastAsia="zh-CN"/>
        </w:rPr>
      </w:pPr>
    </w:p>
    <w:p w14:paraId="23E56776">
      <w:pPr>
        <w:rPr>
          <w:rFonts w:hint="eastAsia" w:ascii="宋体" w:hAnsi="宋体" w:cs="宋体"/>
          <w:b/>
          <w:bCs/>
          <w:color w:val="auto"/>
          <w:sz w:val="32"/>
          <w:szCs w:val="32"/>
          <w:highlight w:val="none"/>
          <w:lang w:eastAsia="zh-CN"/>
        </w:rPr>
      </w:pPr>
    </w:p>
    <w:p w14:paraId="23E63DF2">
      <w:pPr>
        <w:rPr>
          <w:rFonts w:hint="eastAsia" w:ascii="宋体" w:hAnsi="宋体" w:cs="宋体"/>
          <w:b/>
          <w:bCs/>
          <w:color w:val="auto"/>
          <w:sz w:val="32"/>
          <w:szCs w:val="32"/>
          <w:highlight w:val="none"/>
          <w:lang w:eastAsia="zh-CN"/>
        </w:rPr>
      </w:pPr>
    </w:p>
    <w:p w14:paraId="11279F43">
      <w:pPr>
        <w:rPr>
          <w:rFonts w:hint="eastAsia" w:ascii="宋体" w:hAnsi="宋体" w:cs="宋体"/>
          <w:b/>
          <w:bCs/>
          <w:color w:val="auto"/>
          <w:sz w:val="32"/>
          <w:szCs w:val="32"/>
          <w:highlight w:val="none"/>
          <w:lang w:eastAsia="zh-CN"/>
        </w:rPr>
      </w:pPr>
    </w:p>
    <w:p w14:paraId="1468EC2A">
      <w:pPr>
        <w:rPr>
          <w:rFonts w:hint="eastAsia" w:ascii="宋体" w:hAnsi="宋体" w:cs="宋体"/>
          <w:b/>
          <w:bCs/>
          <w:color w:val="auto"/>
          <w:sz w:val="32"/>
          <w:szCs w:val="32"/>
          <w:highlight w:val="none"/>
          <w:lang w:eastAsia="zh-CN"/>
        </w:rPr>
      </w:pPr>
    </w:p>
    <w:p w14:paraId="6A697B5B">
      <w:pPr>
        <w:ind w:left="0" w:leftChars="0" w:firstLine="0" w:firstLineChars="0"/>
        <w:rPr>
          <w:rFonts w:hint="eastAsia" w:ascii="宋体" w:hAnsi="宋体" w:cs="宋体"/>
          <w:b/>
          <w:bCs/>
          <w:color w:val="auto"/>
          <w:sz w:val="32"/>
          <w:szCs w:val="32"/>
          <w:highlight w:val="none"/>
          <w:lang w:eastAsia="zh-CN"/>
        </w:rPr>
      </w:pPr>
    </w:p>
    <w:p w14:paraId="01057D02">
      <w:pPr>
        <w:outlineLvl w:val="0"/>
        <w:rPr>
          <w:rFonts w:hint="eastAsia" w:ascii="宋体" w:hAnsi="宋体" w:eastAsia="宋体" w:cs="宋体"/>
          <w:b/>
          <w:bCs/>
          <w:color w:val="auto"/>
          <w:sz w:val="32"/>
          <w:szCs w:val="32"/>
          <w:highlight w:val="none"/>
          <w:lang w:eastAsia="zh-CN"/>
        </w:rPr>
      </w:pPr>
      <w:bookmarkStart w:id="2" w:name="_Toc29325"/>
      <w:bookmarkStart w:id="3" w:name="_Toc13056"/>
      <w:r>
        <w:rPr>
          <w:rFonts w:hint="eastAsia" w:ascii="宋体" w:hAnsi="宋体" w:cs="宋体"/>
          <w:b/>
          <w:bCs/>
          <w:color w:val="auto"/>
          <w:sz w:val="32"/>
          <w:szCs w:val="32"/>
          <w:highlight w:val="none"/>
        </w:rPr>
        <w:t>采 购</w:t>
      </w:r>
      <w:r>
        <w:rPr>
          <w:rFonts w:hint="eastAsia" w:ascii="宋体" w:hAnsi="宋体" w:cs="宋体"/>
          <w:b/>
          <w:bCs/>
          <w:color w:val="FF0000"/>
          <w:sz w:val="32"/>
          <w:szCs w:val="32"/>
          <w:highlight w:val="none"/>
        </w:rPr>
        <w:t xml:space="preserve"> </w:t>
      </w:r>
      <w:r>
        <w:rPr>
          <w:rFonts w:hint="eastAsia" w:ascii="宋体" w:hAnsi="宋体" w:cs="宋体"/>
          <w:b/>
          <w:bCs/>
          <w:color w:val="auto"/>
          <w:sz w:val="32"/>
          <w:szCs w:val="32"/>
          <w:highlight w:val="none"/>
        </w:rPr>
        <w:t>人：</w:t>
      </w:r>
      <w:bookmarkEnd w:id="2"/>
      <w:bookmarkEnd w:id="3"/>
      <w:r>
        <w:rPr>
          <w:rFonts w:hint="eastAsia" w:ascii="宋体" w:hAnsi="宋体" w:cs="宋体"/>
          <w:b/>
          <w:bCs/>
          <w:color w:val="auto"/>
          <w:sz w:val="32"/>
          <w:szCs w:val="32"/>
          <w:highlight w:val="none"/>
          <w:lang w:eastAsia="zh-CN"/>
        </w:rPr>
        <w:t>东海县驼峰乡人民政府</w:t>
      </w:r>
    </w:p>
    <w:p w14:paraId="4A767229">
      <w:pPr>
        <w:pStyle w:val="221"/>
        <w:rPr>
          <w:rFonts w:hint="eastAsia" w:ascii="宋体" w:hAnsi="宋体" w:eastAsia="宋体" w:cs="宋体"/>
          <w:color w:val="auto"/>
          <w:sz w:val="32"/>
          <w:szCs w:val="32"/>
          <w:highlight w:val="none"/>
          <w:lang w:eastAsia="zh-CN"/>
        </w:rPr>
      </w:pPr>
      <w:r>
        <w:rPr>
          <w:rFonts w:hint="eastAsia" w:ascii="宋体" w:hAnsi="宋体" w:cs="宋体"/>
          <w:b/>
          <w:bCs/>
          <w:color w:val="auto"/>
          <w:sz w:val="32"/>
          <w:szCs w:val="32"/>
          <w:highlight w:val="none"/>
        </w:rPr>
        <w:t>采购代理机构：</w:t>
      </w:r>
      <w:r>
        <w:rPr>
          <w:rFonts w:hint="eastAsia" w:ascii="宋体" w:hAnsi="宋体" w:cs="宋体"/>
          <w:b/>
          <w:bCs/>
          <w:color w:val="auto"/>
          <w:sz w:val="32"/>
          <w:szCs w:val="32"/>
          <w:highlight w:val="none"/>
          <w:lang w:eastAsia="zh-CN"/>
        </w:rPr>
        <w:t>连云港铭康工程咨询有限公司</w:t>
      </w:r>
    </w:p>
    <w:p w14:paraId="2EE5C0BF">
      <w:pPr>
        <w:jc w:val="center"/>
        <w:rPr>
          <w:color w:val="auto"/>
          <w:highlight w:val="none"/>
        </w:rPr>
      </w:pPr>
      <w:r>
        <w:rPr>
          <w:rFonts w:hint="eastAsia" w:ascii="宋体" w:hAnsi="宋体" w:cs="宋体"/>
          <w:b/>
          <w:color w:val="auto"/>
          <w:sz w:val="32"/>
          <w:szCs w:val="32"/>
          <w:highlight w:val="none"/>
        </w:rPr>
        <w:t>2025年</w:t>
      </w:r>
      <w:r>
        <w:rPr>
          <w:rFonts w:hint="eastAsia" w:ascii="宋体" w:hAnsi="宋体" w:cs="宋体"/>
          <w:b/>
          <w:color w:val="auto"/>
          <w:sz w:val="32"/>
          <w:szCs w:val="32"/>
          <w:highlight w:val="none"/>
          <w:lang w:val="en-US" w:eastAsia="zh-CN"/>
        </w:rPr>
        <w:t>11</w:t>
      </w:r>
      <w:r>
        <w:rPr>
          <w:rFonts w:hint="eastAsia" w:ascii="宋体" w:hAnsi="宋体" w:cs="宋体"/>
          <w:b/>
          <w:color w:val="auto"/>
          <w:sz w:val="32"/>
          <w:szCs w:val="32"/>
          <w:highlight w:val="none"/>
        </w:rPr>
        <w:t>月</w:t>
      </w:r>
      <w:r>
        <w:rPr>
          <w:rFonts w:hint="eastAsia" w:ascii="宋体" w:hAnsi="宋体" w:cs="宋体"/>
          <w:b/>
          <w:color w:val="auto"/>
          <w:sz w:val="32"/>
          <w:szCs w:val="32"/>
          <w:highlight w:val="none"/>
        </w:rPr>
        <w:br w:type="page" w:clear="all"/>
      </w:r>
      <w:r>
        <w:rPr>
          <w:rFonts w:hint="eastAsia" w:ascii="宋体" w:hAnsi="宋体" w:cs="宋体"/>
          <w:b/>
          <w:color w:val="auto"/>
          <w:sz w:val="48"/>
          <w:szCs w:val="48"/>
          <w:highlight w:val="none"/>
        </w:rPr>
        <w:t>目   录</w:t>
      </w:r>
    </w:p>
    <w:p w14:paraId="0A29969B">
      <w:pPr>
        <w:pStyle w:val="561"/>
        <w:tabs>
          <w:tab w:val="right" w:leader="dot" w:pos="9747"/>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p>
    <w:sdt>
      <w:sdtPr>
        <w:rPr>
          <w:rFonts w:ascii="宋体" w:hAnsi="宋体"/>
          <w:color w:val="auto"/>
          <w:sz w:val="21"/>
          <w:szCs w:val="20"/>
          <w:highlight w:val="none"/>
        </w:rPr>
        <w:id w:val="147469290"/>
        <w:docPartObj>
          <w:docPartGallery w:val="Table of Contents"/>
          <w:docPartUnique/>
        </w:docPartObj>
      </w:sdtPr>
      <w:sdtEndPr>
        <w:rPr>
          <w:rFonts w:ascii="宋体" w:hAnsi="宋体"/>
          <w:color w:val="auto"/>
          <w:sz w:val="21"/>
          <w:szCs w:val="20"/>
          <w:highlight w:val="none"/>
        </w:rPr>
      </w:sdtEndPr>
      <w:sdtContent>
        <w:p w14:paraId="168A28D0">
          <w:pPr>
            <w:spacing w:line="240" w:lineRule="auto"/>
            <w:ind w:firstLine="0"/>
            <w:jc w:val="center"/>
            <w:rPr>
              <w:color w:val="auto"/>
              <w:highlight w:val="none"/>
            </w:rPr>
          </w:pPr>
        </w:p>
        <w:p w14:paraId="1B95351A">
          <w:pPr>
            <w:pStyle w:val="561"/>
            <w:tabs>
              <w:tab w:val="right" w:leader="dot" w:pos="9747"/>
            </w:tabs>
            <w:rPr>
              <w:color w:val="auto"/>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p>
        <w:p w14:paraId="12D850CB">
          <w:pPr>
            <w:pStyle w:val="561"/>
            <w:tabs>
              <w:tab w:val="right" w:leader="dot" w:pos="9747"/>
            </w:tabs>
            <w:spacing w:line="480" w:lineRule="auto"/>
            <w:rPr>
              <w:color w:val="auto"/>
              <w:sz w:val="40"/>
              <w:szCs w:val="40"/>
              <w:highlight w:val="none"/>
            </w:rPr>
          </w:pPr>
          <w:r>
            <w:rPr>
              <w:color w:val="auto"/>
              <w:highlight w:val="none"/>
            </w:rPr>
            <w:fldChar w:fldCharType="begin"/>
          </w:r>
          <w:r>
            <w:rPr>
              <w:color w:val="auto"/>
              <w:highlight w:val="none"/>
            </w:rPr>
            <w:instrText xml:space="preserve"> HYPERLINK \l "_Toc3660" </w:instrText>
          </w:r>
          <w:r>
            <w:rPr>
              <w:color w:val="auto"/>
              <w:highlight w:val="none"/>
            </w:rPr>
            <w:fldChar w:fldCharType="separate"/>
          </w:r>
          <w:r>
            <w:rPr>
              <w:rFonts w:hint="eastAsia" w:ascii="宋体" w:hAnsi="宋体" w:cs="宋体"/>
              <w:bCs/>
              <w:color w:val="auto"/>
              <w:sz w:val="40"/>
              <w:szCs w:val="192"/>
              <w:highlight w:val="none"/>
            </w:rPr>
            <w:t>第一章 竞争性磋商公告</w:t>
          </w:r>
          <w:r>
            <w:rPr>
              <w:color w:val="auto"/>
              <w:sz w:val="40"/>
              <w:szCs w:val="40"/>
              <w:highlight w:val="none"/>
            </w:rPr>
            <w:tab/>
          </w:r>
          <w:r>
            <w:rPr>
              <w:color w:val="auto"/>
              <w:sz w:val="40"/>
              <w:szCs w:val="40"/>
              <w:highlight w:val="none"/>
            </w:rPr>
            <w:fldChar w:fldCharType="begin"/>
          </w:r>
          <w:r>
            <w:rPr>
              <w:color w:val="auto"/>
              <w:sz w:val="40"/>
              <w:szCs w:val="40"/>
              <w:highlight w:val="none"/>
            </w:rPr>
            <w:instrText xml:space="preserve"> PAGEREF _Toc3660 \h </w:instrText>
          </w:r>
          <w:r>
            <w:rPr>
              <w:color w:val="auto"/>
              <w:sz w:val="40"/>
              <w:szCs w:val="40"/>
              <w:highlight w:val="none"/>
            </w:rPr>
            <w:fldChar w:fldCharType="separate"/>
          </w:r>
          <w:r>
            <w:rPr>
              <w:color w:val="auto"/>
              <w:sz w:val="40"/>
              <w:szCs w:val="40"/>
              <w:highlight w:val="none"/>
            </w:rPr>
            <w:t>1</w:t>
          </w:r>
          <w:r>
            <w:rPr>
              <w:color w:val="auto"/>
              <w:sz w:val="40"/>
              <w:szCs w:val="40"/>
              <w:highlight w:val="none"/>
            </w:rPr>
            <w:fldChar w:fldCharType="end"/>
          </w:r>
          <w:r>
            <w:rPr>
              <w:color w:val="auto"/>
              <w:sz w:val="40"/>
              <w:szCs w:val="40"/>
              <w:highlight w:val="none"/>
            </w:rPr>
            <w:fldChar w:fldCharType="end"/>
          </w:r>
        </w:p>
        <w:p w14:paraId="1C5C3653">
          <w:pPr>
            <w:pStyle w:val="561"/>
            <w:tabs>
              <w:tab w:val="right" w:leader="dot" w:pos="9747"/>
            </w:tabs>
            <w:spacing w:line="480" w:lineRule="auto"/>
            <w:rPr>
              <w:color w:val="auto"/>
              <w:sz w:val="40"/>
              <w:szCs w:val="40"/>
              <w:highlight w:val="none"/>
            </w:rPr>
          </w:pPr>
          <w:r>
            <w:rPr>
              <w:color w:val="auto"/>
              <w:highlight w:val="none"/>
            </w:rPr>
            <w:fldChar w:fldCharType="begin"/>
          </w:r>
          <w:r>
            <w:rPr>
              <w:color w:val="auto"/>
              <w:highlight w:val="none"/>
            </w:rPr>
            <w:instrText xml:space="preserve"> HYPERLINK \l "_Toc553" </w:instrText>
          </w:r>
          <w:r>
            <w:rPr>
              <w:color w:val="auto"/>
              <w:highlight w:val="none"/>
            </w:rPr>
            <w:fldChar w:fldCharType="separate"/>
          </w:r>
          <w:r>
            <w:rPr>
              <w:rFonts w:hint="eastAsia" w:ascii="宋体" w:hAnsi="宋体" w:cs="宋体"/>
              <w:bCs/>
              <w:color w:val="auto"/>
              <w:sz w:val="40"/>
              <w:szCs w:val="112"/>
              <w:highlight w:val="none"/>
            </w:rPr>
            <w:t>第二章 供应商须知</w:t>
          </w:r>
          <w:r>
            <w:rPr>
              <w:color w:val="auto"/>
              <w:sz w:val="40"/>
              <w:szCs w:val="40"/>
              <w:highlight w:val="none"/>
            </w:rPr>
            <w:tab/>
          </w:r>
          <w:r>
            <w:rPr>
              <w:rFonts w:hint="eastAsia"/>
              <w:color w:val="auto"/>
              <w:sz w:val="40"/>
              <w:szCs w:val="40"/>
              <w:highlight w:val="none"/>
              <w:lang w:val="en-US" w:eastAsia="zh-CN"/>
            </w:rPr>
            <w:t>6</w:t>
          </w:r>
          <w:r>
            <w:rPr>
              <w:color w:val="auto"/>
              <w:sz w:val="40"/>
              <w:szCs w:val="40"/>
              <w:highlight w:val="none"/>
            </w:rPr>
            <w:fldChar w:fldCharType="end"/>
          </w:r>
        </w:p>
        <w:p w14:paraId="746952F3">
          <w:pPr>
            <w:pStyle w:val="561"/>
            <w:tabs>
              <w:tab w:val="right" w:leader="dot" w:pos="9747"/>
            </w:tabs>
            <w:spacing w:line="480" w:lineRule="auto"/>
            <w:rPr>
              <w:rFonts w:hint="eastAsia" w:eastAsia="宋体"/>
              <w:color w:val="auto"/>
              <w:sz w:val="40"/>
              <w:szCs w:val="40"/>
              <w:highlight w:val="none"/>
              <w:lang w:val="en-US" w:eastAsia="zh-CN"/>
            </w:rPr>
          </w:pPr>
          <w:r>
            <w:rPr>
              <w:color w:val="auto"/>
              <w:highlight w:val="none"/>
            </w:rPr>
            <w:fldChar w:fldCharType="begin"/>
          </w:r>
          <w:r>
            <w:rPr>
              <w:color w:val="auto"/>
              <w:highlight w:val="none"/>
            </w:rPr>
            <w:instrText xml:space="preserve"> HYPERLINK \l "_Toc15346" </w:instrText>
          </w:r>
          <w:r>
            <w:rPr>
              <w:color w:val="auto"/>
              <w:highlight w:val="none"/>
            </w:rPr>
            <w:fldChar w:fldCharType="separate"/>
          </w:r>
          <w:r>
            <w:rPr>
              <w:rFonts w:hint="eastAsia" w:ascii="宋体" w:hAnsi="宋体" w:cs="宋体"/>
              <w:bCs/>
              <w:color w:val="auto"/>
              <w:sz w:val="40"/>
              <w:szCs w:val="112"/>
              <w:highlight w:val="none"/>
            </w:rPr>
            <w:t>第三章  政府采购合同格式</w:t>
          </w:r>
          <w:r>
            <w:rPr>
              <w:color w:val="auto"/>
              <w:sz w:val="40"/>
              <w:szCs w:val="40"/>
              <w:highlight w:val="none"/>
            </w:rPr>
            <w:tab/>
          </w:r>
          <w:r>
            <w:rPr>
              <w:rFonts w:hint="eastAsia"/>
              <w:color w:val="auto"/>
              <w:sz w:val="40"/>
              <w:szCs w:val="40"/>
              <w:highlight w:val="none"/>
              <w:lang w:val="en-US" w:eastAsia="zh-CN"/>
            </w:rPr>
            <w:t>2</w:t>
          </w:r>
          <w:r>
            <w:rPr>
              <w:color w:val="auto"/>
              <w:sz w:val="40"/>
              <w:szCs w:val="40"/>
              <w:highlight w:val="none"/>
            </w:rPr>
            <w:fldChar w:fldCharType="end"/>
          </w:r>
          <w:r>
            <w:rPr>
              <w:rFonts w:hint="eastAsia"/>
              <w:color w:val="auto"/>
              <w:sz w:val="40"/>
              <w:szCs w:val="40"/>
              <w:highlight w:val="none"/>
              <w:lang w:val="en-US" w:eastAsia="zh-CN"/>
            </w:rPr>
            <w:t>4</w:t>
          </w:r>
        </w:p>
        <w:p w14:paraId="4AB6E5E5">
          <w:pPr>
            <w:pStyle w:val="561"/>
            <w:tabs>
              <w:tab w:val="right" w:leader="dot" w:pos="9747"/>
            </w:tabs>
            <w:spacing w:line="480" w:lineRule="auto"/>
            <w:rPr>
              <w:rFonts w:hint="eastAsia" w:eastAsia="宋体"/>
              <w:color w:val="auto"/>
              <w:sz w:val="40"/>
              <w:szCs w:val="40"/>
              <w:highlight w:val="none"/>
              <w:lang w:val="en-US" w:eastAsia="zh-CN"/>
            </w:rPr>
          </w:pPr>
          <w:r>
            <w:rPr>
              <w:color w:val="auto"/>
              <w:highlight w:val="none"/>
            </w:rPr>
            <w:fldChar w:fldCharType="begin"/>
          </w:r>
          <w:r>
            <w:rPr>
              <w:color w:val="auto"/>
              <w:highlight w:val="none"/>
            </w:rPr>
            <w:instrText xml:space="preserve"> HYPERLINK \l "_Toc20075" </w:instrText>
          </w:r>
          <w:r>
            <w:rPr>
              <w:color w:val="auto"/>
              <w:highlight w:val="none"/>
            </w:rPr>
            <w:fldChar w:fldCharType="separate"/>
          </w:r>
          <w:r>
            <w:rPr>
              <w:rFonts w:hint="eastAsia" w:ascii="宋体" w:hAnsi="宋体" w:cs="宋体"/>
              <w:bCs/>
              <w:color w:val="auto"/>
              <w:sz w:val="40"/>
              <w:szCs w:val="112"/>
              <w:highlight w:val="none"/>
            </w:rPr>
            <w:t>第四章  项目需求</w:t>
          </w:r>
          <w:r>
            <w:rPr>
              <w:color w:val="auto"/>
              <w:sz w:val="40"/>
              <w:szCs w:val="40"/>
              <w:highlight w:val="none"/>
            </w:rPr>
            <w:tab/>
          </w:r>
          <w:r>
            <w:rPr>
              <w:rFonts w:hint="eastAsia"/>
              <w:color w:val="auto"/>
              <w:sz w:val="40"/>
              <w:szCs w:val="40"/>
              <w:highlight w:val="none"/>
              <w:lang w:val="en-US" w:eastAsia="zh-CN"/>
            </w:rPr>
            <w:t>3</w:t>
          </w:r>
          <w:r>
            <w:rPr>
              <w:color w:val="auto"/>
              <w:sz w:val="40"/>
              <w:szCs w:val="40"/>
              <w:highlight w:val="none"/>
            </w:rPr>
            <w:fldChar w:fldCharType="end"/>
          </w:r>
          <w:r>
            <w:rPr>
              <w:rFonts w:hint="eastAsia"/>
              <w:color w:val="auto"/>
              <w:sz w:val="40"/>
              <w:szCs w:val="40"/>
              <w:highlight w:val="none"/>
              <w:lang w:val="en-US" w:eastAsia="zh-CN"/>
            </w:rPr>
            <w:t>5</w:t>
          </w:r>
        </w:p>
        <w:p w14:paraId="4659189F">
          <w:pPr>
            <w:pStyle w:val="561"/>
            <w:tabs>
              <w:tab w:val="right" w:leader="dot" w:pos="9747"/>
            </w:tabs>
            <w:spacing w:line="480" w:lineRule="auto"/>
            <w:rPr>
              <w:color w:val="auto"/>
              <w:sz w:val="40"/>
              <w:szCs w:val="40"/>
              <w:highlight w:val="none"/>
            </w:rPr>
          </w:pPr>
          <w:r>
            <w:rPr>
              <w:color w:val="auto"/>
              <w:highlight w:val="none"/>
            </w:rPr>
            <w:fldChar w:fldCharType="begin"/>
          </w:r>
          <w:r>
            <w:rPr>
              <w:color w:val="auto"/>
              <w:highlight w:val="none"/>
            </w:rPr>
            <w:instrText xml:space="preserve"> HYPERLINK \l "_Toc14613" </w:instrText>
          </w:r>
          <w:r>
            <w:rPr>
              <w:color w:val="auto"/>
              <w:highlight w:val="none"/>
            </w:rPr>
            <w:fldChar w:fldCharType="separate"/>
          </w:r>
          <w:r>
            <w:rPr>
              <w:rFonts w:hint="eastAsia" w:ascii="宋体" w:hAnsi="宋体" w:cs="宋体"/>
              <w:bCs/>
              <w:color w:val="auto"/>
              <w:sz w:val="40"/>
              <w:szCs w:val="112"/>
              <w:highlight w:val="none"/>
            </w:rPr>
            <w:t>第五章  评审方法和评审标准</w:t>
          </w:r>
          <w:r>
            <w:rPr>
              <w:color w:val="auto"/>
              <w:sz w:val="40"/>
              <w:szCs w:val="40"/>
              <w:highlight w:val="none"/>
            </w:rPr>
            <w:tab/>
          </w:r>
          <w:r>
            <w:rPr>
              <w:color w:val="auto"/>
              <w:sz w:val="40"/>
              <w:szCs w:val="40"/>
              <w:highlight w:val="none"/>
            </w:rPr>
            <w:fldChar w:fldCharType="begin"/>
          </w:r>
          <w:r>
            <w:rPr>
              <w:color w:val="auto"/>
              <w:sz w:val="40"/>
              <w:szCs w:val="40"/>
              <w:highlight w:val="none"/>
            </w:rPr>
            <w:instrText xml:space="preserve"> PAGEREF _Toc14613 \h </w:instrText>
          </w:r>
          <w:r>
            <w:rPr>
              <w:color w:val="auto"/>
              <w:sz w:val="40"/>
              <w:szCs w:val="40"/>
              <w:highlight w:val="none"/>
            </w:rPr>
            <w:fldChar w:fldCharType="separate"/>
          </w:r>
          <w:r>
            <w:rPr>
              <w:color w:val="auto"/>
              <w:sz w:val="40"/>
              <w:szCs w:val="40"/>
              <w:highlight w:val="none"/>
            </w:rPr>
            <w:t>42</w:t>
          </w:r>
          <w:r>
            <w:rPr>
              <w:color w:val="auto"/>
              <w:sz w:val="40"/>
              <w:szCs w:val="40"/>
              <w:highlight w:val="none"/>
            </w:rPr>
            <w:fldChar w:fldCharType="end"/>
          </w:r>
          <w:r>
            <w:rPr>
              <w:color w:val="auto"/>
              <w:sz w:val="40"/>
              <w:szCs w:val="40"/>
              <w:highlight w:val="none"/>
            </w:rPr>
            <w:fldChar w:fldCharType="end"/>
          </w:r>
        </w:p>
        <w:p w14:paraId="61AF32EE">
          <w:pPr>
            <w:pStyle w:val="561"/>
            <w:tabs>
              <w:tab w:val="right" w:leader="dot" w:pos="9747"/>
            </w:tabs>
            <w:spacing w:line="480" w:lineRule="auto"/>
            <w:rPr>
              <w:rFonts w:hint="eastAsia" w:eastAsia="宋体"/>
              <w:color w:val="auto"/>
              <w:sz w:val="40"/>
              <w:szCs w:val="40"/>
              <w:highlight w:val="none"/>
              <w:lang w:val="en-US" w:eastAsia="zh-CN"/>
            </w:rPr>
          </w:pPr>
          <w:r>
            <w:rPr>
              <w:color w:val="auto"/>
              <w:highlight w:val="none"/>
            </w:rPr>
            <w:fldChar w:fldCharType="begin"/>
          </w:r>
          <w:r>
            <w:rPr>
              <w:color w:val="auto"/>
              <w:highlight w:val="none"/>
            </w:rPr>
            <w:instrText xml:space="preserve"> HYPERLINK \l "_Toc7905" </w:instrText>
          </w:r>
          <w:r>
            <w:rPr>
              <w:color w:val="auto"/>
              <w:highlight w:val="none"/>
            </w:rPr>
            <w:fldChar w:fldCharType="separate"/>
          </w:r>
          <w:r>
            <w:rPr>
              <w:rFonts w:hint="eastAsia" w:ascii="宋体" w:hAnsi="宋体" w:cs="宋体"/>
              <w:bCs/>
              <w:color w:val="auto"/>
              <w:sz w:val="40"/>
              <w:szCs w:val="112"/>
              <w:highlight w:val="none"/>
            </w:rPr>
            <w:t>第六章 竞争性磋商响应文件格式</w:t>
          </w:r>
          <w:r>
            <w:rPr>
              <w:color w:val="auto"/>
              <w:sz w:val="40"/>
              <w:szCs w:val="40"/>
              <w:highlight w:val="none"/>
            </w:rPr>
            <w:tab/>
          </w:r>
          <w:r>
            <w:rPr>
              <w:rFonts w:hint="eastAsia"/>
              <w:color w:val="auto"/>
              <w:sz w:val="40"/>
              <w:szCs w:val="40"/>
              <w:highlight w:val="none"/>
              <w:lang w:val="en-US" w:eastAsia="zh-CN"/>
            </w:rPr>
            <w:t>4</w:t>
          </w:r>
          <w:r>
            <w:rPr>
              <w:color w:val="auto"/>
              <w:sz w:val="40"/>
              <w:szCs w:val="40"/>
              <w:highlight w:val="none"/>
            </w:rPr>
            <w:fldChar w:fldCharType="end"/>
          </w:r>
          <w:r>
            <w:rPr>
              <w:rFonts w:hint="eastAsia"/>
              <w:color w:val="auto"/>
              <w:sz w:val="40"/>
              <w:szCs w:val="40"/>
              <w:highlight w:val="none"/>
              <w:lang w:val="en-US" w:eastAsia="zh-CN"/>
            </w:rPr>
            <w:t>6</w:t>
          </w:r>
        </w:p>
        <w:p w14:paraId="4054C67D">
          <w:pPr>
            <w:pStyle w:val="561"/>
            <w:tabs>
              <w:tab w:val="right" w:leader="dot" w:pos="9747"/>
            </w:tabs>
            <w:spacing w:line="360" w:lineRule="auto"/>
            <w:rPr>
              <w:rFonts w:ascii="宋体" w:hAnsi="宋体" w:cs="宋体"/>
              <w:color w:val="auto"/>
              <w:szCs w:val="28"/>
              <w:highlight w:val="none"/>
            </w:rPr>
          </w:pPr>
          <w:r>
            <w:rPr>
              <w:rFonts w:hint="eastAsia" w:ascii="宋体" w:hAnsi="宋体" w:cs="宋体"/>
              <w:color w:val="auto"/>
              <w:szCs w:val="28"/>
              <w:highlight w:val="none"/>
            </w:rPr>
            <w:fldChar w:fldCharType="end"/>
          </w:r>
        </w:p>
      </w:sdtContent>
    </w:sdt>
    <w:p w14:paraId="515509C7">
      <w:pPr>
        <w:pStyle w:val="561"/>
        <w:tabs>
          <w:tab w:val="right" w:leader="dot" w:pos="9747"/>
        </w:tabs>
        <w:spacing w:line="360" w:lineRule="auto"/>
        <w:rPr>
          <w:rFonts w:ascii="宋体" w:hAnsi="宋体" w:cs="宋体"/>
          <w:color w:val="auto"/>
          <w:szCs w:val="28"/>
          <w:highlight w:val="none"/>
        </w:rPr>
      </w:pPr>
    </w:p>
    <w:p w14:paraId="1F50D795">
      <w:pPr>
        <w:pStyle w:val="244"/>
        <w:ind w:firstLine="0"/>
        <w:rPr>
          <w:rFonts w:ascii="宋体" w:hAnsi="宋体" w:cs="宋体"/>
          <w:color w:val="auto"/>
          <w:highlight w:val="none"/>
        </w:rPr>
      </w:pPr>
      <w:r>
        <w:rPr>
          <w:rFonts w:hint="eastAsia" w:ascii="宋体" w:hAnsi="宋体" w:cs="宋体"/>
          <w:color w:val="auto"/>
          <w:highlight w:val="none"/>
        </w:rPr>
        <w:fldChar w:fldCharType="end"/>
      </w:r>
    </w:p>
    <w:p w14:paraId="3998CD67">
      <w:pPr>
        <w:rPr>
          <w:rFonts w:ascii="宋体" w:hAnsi="宋体" w:cs="宋体"/>
          <w:color w:val="auto"/>
          <w:highlight w:val="none"/>
        </w:rPr>
        <w:sectPr>
          <w:headerReference r:id="rId5" w:type="default"/>
          <w:footerReference r:id="rId6" w:type="default"/>
          <w:footerReference r:id="rId7" w:type="even"/>
          <w:pgSz w:w="11907" w:h="16840" w:orient="landscape"/>
          <w:pgMar w:top="1440" w:right="1080" w:bottom="1440" w:left="1080" w:header="737" w:footer="720" w:gutter="0"/>
          <w:cols w:space="1701" w:num="1"/>
          <w:titlePg/>
        </w:sectPr>
      </w:pPr>
      <w:bookmarkStart w:id="4" w:name="_Toc19488"/>
      <w:bookmarkEnd w:id="4"/>
      <w:bookmarkStart w:id="5" w:name="_Toc15864"/>
      <w:bookmarkEnd w:id="5"/>
      <w:bookmarkStart w:id="6" w:name="_Toc513622226"/>
      <w:bookmarkEnd w:id="6"/>
      <w:bookmarkStart w:id="7" w:name="_Toc224532086"/>
      <w:bookmarkStart w:id="8" w:name="_Toc204595692"/>
    </w:p>
    <w:p w14:paraId="017A50C3">
      <w:pPr>
        <w:ind w:firstLine="0"/>
        <w:jc w:val="center"/>
        <w:outlineLvl w:val="0"/>
        <w:rPr>
          <w:rFonts w:ascii="宋体" w:hAnsi="宋体" w:cs="宋体"/>
          <w:b/>
          <w:bCs/>
          <w:color w:val="auto"/>
          <w:sz w:val="44"/>
          <w:szCs w:val="52"/>
          <w:highlight w:val="none"/>
        </w:rPr>
      </w:pPr>
      <w:bookmarkStart w:id="9" w:name="_Toc4442"/>
      <w:bookmarkStart w:id="10" w:name="_Toc3660"/>
      <w:r>
        <w:rPr>
          <w:rFonts w:hint="eastAsia" w:ascii="宋体" w:hAnsi="宋体" w:cs="宋体"/>
          <w:b/>
          <w:bCs/>
          <w:color w:val="auto"/>
          <w:sz w:val="44"/>
          <w:szCs w:val="52"/>
          <w:highlight w:val="none"/>
        </w:rPr>
        <w:t>第一章 竞争性磋商</w:t>
      </w:r>
      <w:bookmarkEnd w:id="9"/>
      <w:bookmarkEnd w:id="10"/>
      <w:r>
        <w:rPr>
          <w:rFonts w:hint="eastAsia" w:ascii="宋体" w:hAnsi="宋体" w:cs="宋体"/>
          <w:b/>
          <w:bCs/>
          <w:color w:val="auto"/>
          <w:sz w:val="44"/>
          <w:szCs w:val="52"/>
          <w:highlight w:val="none"/>
        </w:rPr>
        <w:t>邀请</w:t>
      </w:r>
      <w:bookmarkEnd w:id="7"/>
      <w:bookmarkEnd w:id="8"/>
    </w:p>
    <w:p w14:paraId="5A748610">
      <w:pPr>
        <w:pStyle w:val="25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color w:val="auto"/>
          <w:highlight w:val="none"/>
        </w:rPr>
      </w:pPr>
      <w:bookmarkStart w:id="11" w:name="_Toc27391"/>
      <w:bookmarkStart w:id="12" w:name="_Toc553"/>
      <w:bookmarkStart w:id="13" w:name="_Toc31104"/>
      <w:bookmarkStart w:id="14" w:name="_Toc224532087"/>
      <w:bookmarkStart w:id="15" w:name="_Toc515874988"/>
      <w:bookmarkStart w:id="16" w:name="_Toc204595693"/>
      <w:r>
        <w:rPr>
          <w:rFonts w:hint="eastAsia"/>
          <w:color w:val="auto"/>
          <w:highlight w:val="none"/>
        </w:rPr>
        <w:t>受</w:t>
      </w:r>
      <w:r>
        <w:rPr>
          <w:rFonts w:hint="eastAsia"/>
          <w:color w:val="auto"/>
          <w:highlight w:val="none"/>
          <w:u w:val="single"/>
          <w:lang w:eastAsia="zh-CN"/>
        </w:rPr>
        <w:t>东海县驼峰乡人民政府</w:t>
      </w:r>
      <w:r>
        <w:rPr>
          <w:rFonts w:hint="eastAsia"/>
          <w:color w:val="auto"/>
          <w:highlight w:val="none"/>
        </w:rPr>
        <w:t>的委托，</w:t>
      </w:r>
      <w:r>
        <w:rPr>
          <w:rFonts w:hint="eastAsia"/>
          <w:color w:val="auto"/>
          <w:highlight w:val="none"/>
          <w:u w:val="single"/>
          <w:lang w:eastAsia="zh-CN"/>
        </w:rPr>
        <w:t>连云港铭康工程咨询有限公司</w:t>
      </w:r>
      <w:r>
        <w:rPr>
          <w:rFonts w:hint="eastAsia"/>
          <w:color w:val="auto"/>
          <w:highlight w:val="none"/>
        </w:rPr>
        <w:t>就</w:t>
      </w:r>
      <w:r>
        <w:rPr>
          <w:rFonts w:hint="eastAsia"/>
          <w:color w:val="auto"/>
          <w:highlight w:val="none"/>
          <w:u w:val="single"/>
          <w:lang w:eastAsia="zh-CN"/>
        </w:rPr>
        <w:t>东海县驼峰乡清扫保洁外包项目</w:t>
      </w:r>
      <w:r>
        <w:rPr>
          <w:rFonts w:hint="eastAsia"/>
          <w:color w:val="auto"/>
          <w:highlight w:val="none"/>
          <w:u w:val="single"/>
        </w:rPr>
        <w:t>（项目编号：</w:t>
      </w:r>
      <w:r>
        <w:rPr>
          <w:rFonts w:hint="eastAsia"/>
          <w:color w:val="auto"/>
          <w:highlight w:val="none"/>
          <w:u w:val="single"/>
          <w:lang w:val="en-US" w:eastAsia="zh-CN"/>
        </w:rPr>
        <w:t>JSZC-320722-MKGC-C2025-0005</w:t>
      </w:r>
      <w:r>
        <w:rPr>
          <w:rFonts w:hint="eastAsia"/>
          <w:color w:val="auto"/>
          <w:highlight w:val="none"/>
          <w:u w:val="single"/>
        </w:rPr>
        <w:t>）</w:t>
      </w:r>
      <w:r>
        <w:rPr>
          <w:rFonts w:hint="eastAsia"/>
          <w:color w:val="auto"/>
          <w:highlight w:val="none"/>
        </w:rPr>
        <w:t>进行竞争性磋商采购，欢迎符合条件的供应商参加磋商。</w:t>
      </w:r>
    </w:p>
    <w:tbl>
      <w:tblPr>
        <w:tblStyle w:val="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4"/>
      </w:tblGrid>
      <w:tr w14:paraId="466B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9854" w:type="dxa"/>
            <w:noWrap w:val="0"/>
            <w:vAlign w:val="center"/>
          </w:tcPr>
          <w:p w14:paraId="27FF9B13">
            <w:pPr>
              <w:ind w:firstLine="480"/>
              <w:rPr>
                <w:rFonts w:ascii="宋体" w:hAnsi="宋体" w:cs="宋体"/>
                <w:color w:val="auto"/>
                <w:highlight w:val="none"/>
              </w:rPr>
            </w:pPr>
            <w:r>
              <w:rPr>
                <w:rFonts w:hint="eastAsia" w:ascii="宋体" w:hAnsi="宋体" w:cs="宋体"/>
                <w:color w:val="auto"/>
                <w:highlight w:val="none"/>
              </w:rPr>
              <w:t>项目概况：</w:t>
            </w:r>
            <w:r>
              <w:rPr>
                <w:rFonts w:hint="eastAsia"/>
                <w:color w:val="auto"/>
                <w:highlight w:val="none"/>
                <w:u w:val="single"/>
                <w:lang w:eastAsia="zh-CN"/>
              </w:rPr>
              <w:t>东海县驼峰乡清扫保洁外包项目</w:t>
            </w:r>
            <w:r>
              <w:rPr>
                <w:rFonts w:hint="eastAsia" w:ascii="宋体" w:hAnsi="宋体" w:cs="宋体"/>
                <w:color w:val="auto"/>
                <w:szCs w:val="28"/>
                <w:highlight w:val="none"/>
              </w:rPr>
              <w:t>竞争性磋商项目的潜在供应商应在</w:t>
            </w:r>
            <w:r>
              <w:rPr>
                <w:rFonts w:hint="eastAsia" w:ascii="宋体" w:hAnsi="宋体" w:cs="宋体"/>
                <w:color w:val="auto"/>
                <w:highlight w:val="none"/>
                <w:u w:val="single"/>
              </w:rPr>
              <w:t>“江苏政府采购网”自行免费下载</w:t>
            </w:r>
            <w:r>
              <w:rPr>
                <w:rFonts w:hint="eastAsia" w:ascii="宋体" w:hAnsi="宋体" w:cs="宋体"/>
                <w:color w:val="auto"/>
                <w:highlight w:val="none"/>
              </w:rPr>
              <w:t>采购文件</w:t>
            </w:r>
            <w:r>
              <w:rPr>
                <w:rFonts w:hint="eastAsia" w:ascii="宋体" w:hAnsi="宋体" w:cs="宋体"/>
                <w:color w:val="auto"/>
                <w:szCs w:val="28"/>
                <w:highlight w:val="none"/>
              </w:rPr>
              <w:t>，并于</w:t>
            </w:r>
            <w:r>
              <w:rPr>
                <w:rFonts w:hint="eastAsia" w:ascii="宋体" w:hAnsi="宋体" w:cs="宋体"/>
                <w:b/>
                <w:bCs/>
                <w:color w:val="auto"/>
                <w:szCs w:val="28"/>
                <w:highlight w:val="none"/>
                <w:u w:val="single"/>
              </w:rPr>
              <w:t>2025年</w:t>
            </w:r>
            <w:r>
              <w:rPr>
                <w:rFonts w:hint="eastAsia" w:ascii="宋体" w:hAnsi="宋体" w:cs="宋体"/>
                <w:b/>
                <w:bCs/>
                <w:color w:val="auto"/>
                <w:szCs w:val="28"/>
                <w:highlight w:val="none"/>
                <w:u w:val="single"/>
                <w:lang w:val="en-US" w:eastAsia="zh-CN"/>
              </w:rPr>
              <w:t>11</w:t>
            </w:r>
            <w:r>
              <w:rPr>
                <w:rFonts w:hint="eastAsia" w:ascii="宋体" w:hAnsi="宋体" w:cs="宋体"/>
                <w:b/>
                <w:bCs/>
                <w:color w:val="auto"/>
                <w:szCs w:val="28"/>
                <w:highlight w:val="none"/>
                <w:u w:val="single"/>
              </w:rPr>
              <w:t>月</w:t>
            </w:r>
            <w:r>
              <w:rPr>
                <w:rFonts w:hint="eastAsia" w:ascii="宋体" w:hAnsi="宋体" w:cs="宋体"/>
                <w:b/>
                <w:bCs/>
                <w:color w:val="auto"/>
                <w:szCs w:val="28"/>
                <w:highlight w:val="none"/>
                <w:u w:val="single"/>
                <w:lang w:val="en-US" w:eastAsia="zh-CN"/>
              </w:rPr>
              <w:t>28</w:t>
            </w:r>
            <w:r>
              <w:rPr>
                <w:rFonts w:hint="eastAsia" w:ascii="宋体" w:hAnsi="宋体" w:cs="宋体"/>
                <w:b/>
                <w:bCs/>
                <w:color w:val="auto"/>
                <w:szCs w:val="28"/>
                <w:highlight w:val="none"/>
                <w:u w:val="single"/>
              </w:rPr>
              <w:t>日09时00分00秒</w:t>
            </w:r>
            <w:r>
              <w:rPr>
                <w:rFonts w:hint="eastAsia" w:ascii="宋体" w:hAnsi="宋体" w:cs="宋体"/>
                <w:color w:val="auto"/>
                <w:szCs w:val="28"/>
                <w:highlight w:val="none"/>
              </w:rPr>
              <w:t xml:space="preserve">（北京时间）前递交响应文件。 </w:t>
            </w:r>
          </w:p>
        </w:tc>
      </w:tr>
    </w:tbl>
    <w:p w14:paraId="071FD03F">
      <w:pPr>
        <w:spacing w:line="336" w:lineRule="auto"/>
        <w:ind w:firstLine="482"/>
        <w:rPr>
          <w:rFonts w:ascii="宋体" w:hAnsi="宋体" w:cs="宋体"/>
          <w:b/>
          <w:bCs/>
          <w:color w:val="auto"/>
          <w:highlight w:val="none"/>
        </w:rPr>
      </w:pPr>
      <w:r>
        <w:rPr>
          <w:rFonts w:hint="eastAsia" w:ascii="宋体" w:hAnsi="宋体" w:cs="宋体"/>
          <w:b/>
          <w:bCs/>
          <w:color w:val="auto"/>
          <w:highlight w:val="none"/>
        </w:rPr>
        <w:t>一、项目基本情况</w:t>
      </w:r>
    </w:p>
    <w:p w14:paraId="202BED0E">
      <w:pPr>
        <w:spacing w:line="336" w:lineRule="auto"/>
        <w:ind w:firstLine="480"/>
        <w:rPr>
          <w:rFonts w:ascii="宋体" w:hAnsi="宋体" w:cs="宋体"/>
          <w:color w:val="auto"/>
          <w:highlight w:val="none"/>
        </w:rPr>
      </w:pPr>
      <w:r>
        <w:rPr>
          <w:rFonts w:hint="eastAsia" w:ascii="宋体" w:hAnsi="宋体" w:cs="宋体"/>
          <w:color w:val="auto"/>
          <w:highlight w:val="none"/>
        </w:rPr>
        <w:t>1、项目编号：</w:t>
      </w:r>
      <w:r>
        <w:rPr>
          <w:rFonts w:hint="eastAsia" w:ascii="宋体" w:hAnsi="宋体" w:cs="宋体"/>
          <w:color w:val="auto"/>
          <w:highlight w:val="none"/>
          <w:lang w:val="en-US" w:eastAsia="zh-CN"/>
        </w:rPr>
        <w:t>JSZC-320722-MKGC-C2025-0005</w:t>
      </w:r>
    </w:p>
    <w:p w14:paraId="3DA9BD21">
      <w:pPr>
        <w:spacing w:line="336" w:lineRule="auto"/>
        <w:ind w:firstLine="0"/>
        <w:rPr>
          <w:rFonts w:ascii="宋体" w:hAnsi="宋体" w:cs="宋体"/>
          <w:color w:val="auto"/>
          <w:highlight w:val="none"/>
        </w:rPr>
      </w:pPr>
      <w:r>
        <w:rPr>
          <w:rFonts w:hint="eastAsia" w:ascii="宋体" w:hAnsi="宋体" w:cs="宋体"/>
          <w:color w:val="auto"/>
          <w:highlight w:val="none"/>
        </w:rPr>
        <w:t xml:space="preserve">    2、项目名称：</w:t>
      </w:r>
      <w:r>
        <w:rPr>
          <w:rFonts w:hint="eastAsia"/>
          <w:color w:val="auto"/>
          <w:highlight w:val="none"/>
          <w:lang w:eastAsia="zh-CN"/>
        </w:rPr>
        <w:t>东海县驼峰乡清扫保洁外包项目</w:t>
      </w:r>
    </w:p>
    <w:p w14:paraId="10E86211">
      <w:pPr>
        <w:spacing w:line="336" w:lineRule="auto"/>
        <w:ind w:firstLine="480"/>
        <w:rPr>
          <w:rFonts w:ascii="宋体" w:hAnsi="宋体" w:cs="宋体"/>
          <w:color w:val="auto"/>
          <w:highlight w:val="none"/>
        </w:rPr>
      </w:pPr>
      <w:r>
        <w:rPr>
          <w:rFonts w:hint="eastAsia" w:ascii="宋体" w:hAnsi="宋体" w:cs="宋体"/>
          <w:color w:val="auto"/>
          <w:highlight w:val="none"/>
        </w:rPr>
        <w:t>3、采购方式：竞争性磋商</w:t>
      </w:r>
    </w:p>
    <w:p w14:paraId="6BB27F81">
      <w:pPr>
        <w:spacing w:line="336" w:lineRule="auto"/>
        <w:ind w:firstLine="480"/>
        <w:rPr>
          <w:rFonts w:hint="eastAsia" w:ascii="宋体" w:hAnsi="宋体" w:eastAsia="宋体" w:cs="宋体"/>
          <w:color w:val="auto"/>
          <w:highlight w:val="none"/>
          <w:lang w:eastAsia="zh-CN"/>
        </w:rPr>
      </w:pPr>
      <w:r>
        <w:rPr>
          <w:rFonts w:hint="eastAsia" w:ascii="宋体" w:hAnsi="宋体" w:cs="宋体"/>
          <w:color w:val="auto"/>
          <w:highlight w:val="none"/>
        </w:rPr>
        <w:t>4、预算金额</w:t>
      </w:r>
      <w:r>
        <w:rPr>
          <w:rFonts w:hint="eastAsia" w:ascii="宋体" w:hAnsi="宋体" w:cs="宋体"/>
          <w:color w:val="auto"/>
          <w:highlight w:val="none"/>
          <w:lang w:eastAsia="zh-CN"/>
        </w:rPr>
        <w:t>：</w:t>
      </w:r>
      <w:r>
        <w:rPr>
          <w:rFonts w:hint="eastAsia" w:ascii="宋体" w:hAnsi="宋体" w:cs="宋体"/>
          <w:color w:val="auto"/>
          <w:highlight w:val="none"/>
          <w:lang w:val="en-US" w:eastAsia="zh-CN"/>
        </w:rPr>
        <w:t>95</w:t>
      </w:r>
      <w:r>
        <w:rPr>
          <w:rFonts w:hint="eastAsia" w:ascii="宋体" w:hAnsi="宋体" w:cs="宋体"/>
          <w:color w:val="auto"/>
          <w:highlight w:val="none"/>
        </w:rPr>
        <w:t>万元</w:t>
      </w:r>
      <w:r>
        <w:rPr>
          <w:rFonts w:hint="eastAsia" w:ascii="宋体" w:hAnsi="宋体" w:cs="宋体"/>
          <w:color w:val="auto"/>
          <w:highlight w:val="none"/>
          <w:lang w:eastAsia="zh-CN"/>
        </w:rPr>
        <w:t>人民币</w:t>
      </w:r>
    </w:p>
    <w:p w14:paraId="21558D74">
      <w:pPr>
        <w:spacing w:line="336" w:lineRule="auto"/>
        <w:ind w:firstLine="48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5、</w:t>
      </w:r>
      <w:r>
        <w:rPr>
          <w:rFonts w:hint="eastAsia" w:ascii="宋体" w:hAnsi="宋体" w:cs="宋体"/>
          <w:color w:val="auto"/>
          <w:highlight w:val="none"/>
        </w:rPr>
        <w:t>最高限价：</w:t>
      </w:r>
      <w:r>
        <w:rPr>
          <w:rFonts w:hint="eastAsia" w:ascii="宋体" w:hAnsi="宋体" w:cs="宋体"/>
          <w:color w:val="auto"/>
          <w:highlight w:val="none"/>
          <w:lang w:val="en-US" w:eastAsia="zh-CN"/>
        </w:rPr>
        <w:t>95</w:t>
      </w:r>
      <w:r>
        <w:rPr>
          <w:rFonts w:hint="eastAsia" w:ascii="宋体" w:hAnsi="宋体" w:cs="宋体"/>
          <w:color w:val="auto"/>
          <w:highlight w:val="none"/>
        </w:rPr>
        <w:t>万元</w:t>
      </w:r>
      <w:r>
        <w:rPr>
          <w:rFonts w:hint="eastAsia" w:ascii="宋体" w:hAnsi="宋体" w:cs="宋体"/>
          <w:color w:val="auto"/>
          <w:highlight w:val="none"/>
          <w:lang w:eastAsia="zh-CN"/>
        </w:rPr>
        <w:t>人民币，投标报价超过</w:t>
      </w:r>
      <w:r>
        <w:rPr>
          <w:rFonts w:hint="eastAsia" w:ascii="宋体" w:hAnsi="宋体" w:cs="宋体"/>
          <w:color w:val="auto"/>
          <w:highlight w:val="none"/>
          <w:lang w:val="en-US" w:eastAsia="zh-CN"/>
        </w:rPr>
        <w:t>最高限价</w:t>
      </w:r>
      <w:r>
        <w:rPr>
          <w:rFonts w:hint="eastAsia" w:ascii="宋体" w:hAnsi="宋体" w:cs="宋体"/>
          <w:color w:val="auto"/>
          <w:highlight w:val="none"/>
          <w:lang w:eastAsia="zh-CN"/>
        </w:rPr>
        <w:t>的按无效响应处理。</w:t>
      </w:r>
    </w:p>
    <w:p w14:paraId="40D40631">
      <w:pPr>
        <w:pStyle w:val="457"/>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r>
        <w:rPr>
          <w:rFonts w:hint="eastAsia"/>
          <w:color w:val="auto"/>
          <w:highlight w:val="none"/>
          <w:lang w:val="en-US" w:eastAsia="zh-CN"/>
        </w:rPr>
        <w:t>、</w:t>
      </w:r>
      <w:r>
        <w:rPr>
          <w:rFonts w:hint="eastAsia"/>
          <w:color w:val="auto"/>
          <w:highlight w:val="none"/>
        </w:rPr>
        <w:t>采购需</w:t>
      </w:r>
      <w:r>
        <w:rPr>
          <w:rFonts w:hint="eastAsia" w:ascii="宋体" w:hAnsi="宋体" w:eastAsia="宋体" w:cs="宋体"/>
          <w:color w:val="auto"/>
          <w:sz w:val="24"/>
          <w:szCs w:val="24"/>
          <w:highlight w:val="none"/>
          <w:lang w:val="en-US" w:eastAsia="zh-CN" w:bidi="ar-SA"/>
        </w:rPr>
        <w:t>求：</w:t>
      </w:r>
      <w:r>
        <w:rPr>
          <w:rFonts w:hint="eastAsia" w:ascii="宋体" w:hAnsi="宋体" w:eastAsia="宋体" w:cs="宋体"/>
          <w:color w:val="auto"/>
          <w:sz w:val="24"/>
          <w:szCs w:val="24"/>
          <w:highlight w:val="none"/>
          <w:lang w:val="zh-TW" w:eastAsia="zh-CN" w:bidi="ar-SA"/>
        </w:rPr>
        <w:t>东海县驼峰乡清扫保洁外包项目，</w:t>
      </w:r>
      <w:r>
        <w:rPr>
          <w:rFonts w:hint="eastAsia" w:ascii="宋体" w:hAnsi="宋体" w:cs="宋体"/>
          <w:color w:val="auto"/>
          <w:sz w:val="24"/>
          <w:szCs w:val="24"/>
          <w:highlight w:val="none"/>
          <w:lang w:val="zh-TW" w:eastAsia="zh-CN" w:bidi="ar-SA"/>
        </w:rPr>
        <w:t>包含但不限于</w:t>
      </w:r>
      <w:r>
        <w:rPr>
          <w:rFonts w:hint="eastAsia" w:ascii="宋体" w:hAnsi="宋体" w:eastAsia="宋体" w:cs="宋体"/>
          <w:color w:val="auto"/>
          <w:sz w:val="24"/>
          <w:szCs w:val="24"/>
          <w:highlight w:val="none"/>
          <w:lang w:val="zh-TW" w:eastAsia="zh-CN" w:bidi="ar-SA"/>
        </w:rPr>
        <w:t>驼峰新区、老区街道道路保洁、洒水降尘、道路洗扫、垃圾转运;党委院内、派出所院内、曹浦新村、老区农贸市场、公共厕所保洁，垃圾中转站日常运营、绿化修剪等服务。具体详见项目需求</w:t>
      </w:r>
      <w:r>
        <w:rPr>
          <w:rFonts w:hint="eastAsia" w:ascii="宋体" w:hAnsi="宋体" w:eastAsia="宋体" w:cs="宋体"/>
          <w:color w:val="auto"/>
          <w:sz w:val="24"/>
          <w:szCs w:val="24"/>
          <w:highlight w:val="none"/>
          <w:lang w:val="en-US" w:eastAsia="zh-CN" w:bidi="ar-SA"/>
        </w:rPr>
        <w:t>。</w:t>
      </w:r>
    </w:p>
    <w:p w14:paraId="1C1ADD65">
      <w:pPr>
        <w:spacing w:line="336" w:lineRule="auto"/>
        <w:ind w:firstLine="480"/>
        <w:rPr>
          <w:rFonts w:ascii="宋体" w:hAnsi="宋体" w:cs="宋体"/>
          <w:color w:val="auto"/>
          <w:highlight w:val="none"/>
        </w:rPr>
      </w:pPr>
      <w:r>
        <w:rPr>
          <w:rFonts w:hint="eastAsia" w:ascii="宋体" w:hAnsi="宋体" w:cs="宋体"/>
          <w:bCs/>
          <w:color w:val="auto"/>
          <w:highlight w:val="none"/>
        </w:rPr>
        <w:t>对项目采购需求部分的询问、质疑请与采购人联系，由采购人负责答复。</w:t>
      </w:r>
    </w:p>
    <w:p w14:paraId="00F8243E">
      <w:pPr>
        <w:numPr>
          <w:ilvl w:val="0"/>
          <w:numId w:val="0"/>
        </w:numPr>
        <w:spacing w:line="336" w:lineRule="auto"/>
        <w:ind w:left="480"/>
        <w:rPr>
          <w:rFonts w:ascii="宋体" w:hAnsi="宋体" w:cs="宋体"/>
          <w:color w:val="FF0000"/>
          <w:highlight w:val="none"/>
        </w:rPr>
      </w:pPr>
      <w:r>
        <w:rPr>
          <w:rFonts w:hint="eastAsia" w:ascii="宋体" w:hAnsi="宋体" w:cs="宋体"/>
          <w:color w:val="auto"/>
          <w:highlight w:val="none"/>
          <w:lang w:val="en-US" w:eastAsia="zh-CN"/>
        </w:rPr>
        <w:t>7、</w:t>
      </w:r>
      <w:r>
        <w:rPr>
          <w:rFonts w:hint="eastAsia" w:ascii="宋体" w:hAnsi="宋体" w:cs="宋体"/>
          <w:color w:val="auto"/>
          <w:highlight w:val="none"/>
        </w:rPr>
        <w:t>服务</w:t>
      </w:r>
      <w:r>
        <w:rPr>
          <w:rFonts w:ascii="宋体" w:hAnsi="宋体" w:cs="宋体"/>
          <w:color w:val="auto"/>
          <w:highlight w:val="none"/>
          <w:lang w:val="zh-TW" w:eastAsia="zh-TW"/>
        </w:rPr>
        <w:t>期限：</w:t>
      </w:r>
      <w:r>
        <w:rPr>
          <w:rFonts w:hint="eastAsia" w:ascii="宋体" w:hAnsi="宋体" w:cs="宋体"/>
          <w:color w:val="auto"/>
          <w:highlight w:val="none"/>
        </w:rPr>
        <w:t>一年。</w:t>
      </w:r>
    </w:p>
    <w:p w14:paraId="12A0C460">
      <w:pPr>
        <w:spacing w:line="336" w:lineRule="auto"/>
        <w:ind w:firstLine="482"/>
        <w:rPr>
          <w:rFonts w:ascii="宋体" w:hAnsi="宋体" w:cs="宋体"/>
          <w:b/>
          <w:bCs/>
          <w:color w:val="auto"/>
          <w:highlight w:val="none"/>
        </w:rPr>
      </w:pPr>
      <w:r>
        <w:rPr>
          <w:rFonts w:hint="eastAsia" w:ascii="宋体" w:hAnsi="宋体" w:cs="宋体"/>
          <w:b/>
          <w:bCs/>
          <w:color w:val="auto"/>
          <w:highlight w:val="none"/>
        </w:rPr>
        <w:t>二、申请人的资格要求</w:t>
      </w:r>
    </w:p>
    <w:p w14:paraId="7A2FCF3A">
      <w:pPr>
        <w:spacing w:line="336" w:lineRule="auto"/>
        <w:ind w:firstLine="480"/>
        <w:rPr>
          <w:rFonts w:ascii="宋体" w:hAnsi="宋体" w:cs="宋体"/>
          <w:color w:val="auto"/>
          <w:highlight w:val="none"/>
        </w:rPr>
      </w:pPr>
      <w:r>
        <w:rPr>
          <w:rFonts w:hint="eastAsia" w:ascii="宋体" w:hAnsi="宋体" w:cs="宋体"/>
          <w:color w:val="auto"/>
          <w:highlight w:val="none"/>
        </w:rPr>
        <w:t>1、满足《中华人民共和国政府采购法》第二十二条规定，并提供以下材料：</w:t>
      </w:r>
    </w:p>
    <w:p w14:paraId="0DA81364">
      <w:pPr>
        <w:spacing w:line="336" w:lineRule="auto"/>
        <w:ind w:firstLine="240"/>
        <w:jc w:val="left"/>
        <w:rPr>
          <w:rFonts w:ascii="宋体" w:hAnsi="宋体" w:cs="宋体"/>
          <w:color w:val="auto"/>
          <w:highlight w:val="none"/>
        </w:rPr>
      </w:pPr>
      <w:r>
        <w:rPr>
          <w:rFonts w:hint="eastAsia" w:ascii="宋体" w:hAnsi="宋体" w:cs="宋体"/>
          <w:color w:val="auto"/>
          <w:highlight w:val="none"/>
        </w:rPr>
        <w:t>（1）法人或者其他组织的营业执照等证明文件，自然人的身份证明；</w:t>
      </w:r>
    </w:p>
    <w:p w14:paraId="7FA47501">
      <w:pPr>
        <w:spacing w:line="336" w:lineRule="auto"/>
        <w:ind w:firstLine="240"/>
        <w:jc w:val="left"/>
        <w:rPr>
          <w:rFonts w:ascii="宋体" w:hAnsi="宋体" w:cs="宋体"/>
          <w:color w:val="auto"/>
          <w:highlight w:val="none"/>
        </w:rPr>
      </w:pPr>
      <w:r>
        <w:rPr>
          <w:rFonts w:hint="eastAsia" w:ascii="宋体" w:hAnsi="宋体" w:cs="宋体"/>
          <w:color w:val="auto"/>
          <w:highlight w:val="none"/>
        </w:rPr>
        <w:t>（2）具有良好的商业信誉和健全的财务会计制度；</w:t>
      </w:r>
      <w:r>
        <w:rPr>
          <w:rFonts w:hint="eastAsia"/>
          <w:color w:val="auto"/>
          <w:highlight w:val="none"/>
        </w:rPr>
        <w:t>（按连财</w:t>
      </w:r>
      <w:r>
        <w:rPr>
          <w:rFonts w:hint="eastAsia" w:ascii="宋体" w:hAnsi="宋体" w:cs="宋体"/>
          <w:color w:val="auto"/>
          <w:highlight w:val="none"/>
        </w:rPr>
        <w:t>购〔2023〕4号文</w:t>
      </w:r>
      <w:r>
        <w:rPr>
          <w:rFonts w:hint="eastAsia"/>
          <w:color w:val="auto"/>
          <w:highlight w:val="none"/>
        </w:rPr>
        <w:t>件要求，符合要求的提交《财务状况报告及税收、社会保障资金缴纳情况承诺函》，格式详见采购文件）；</w:t>
      </w:r>
    </w:p>
    <w:p w14:paraId="54AF6AF0">
      <w:pPr>
        <w:spacing w:line="336" w:lineRule="auto"/>
        <w:ind w:firstLine="240"/>
        <w:jc w:val="left"/>
        <w:rPr>
          <w:rFonts w:ascii="宋体" w:hAnsi="宋体" w:cs="宋体"/>
          <w:color w:val="auto"/>
          <w:highlight w:val="none"/>
        </w:rPr>
      </w:pPr>
      <w:r>
        <w:rPr>
          <w:rFonts w:hint="eastAsia" w:ascii="宋体" w:hAnsi="宋体" w:cs="宋体"/>
          <w:color w:val="auto"/>
          <w:highlight w:val="none"/>
        </w:rPr>
        <w:t>（3）依法缴纳税收和社会保障资金的相关材料；（按连财购〔2023〕4号文件要求，符合要求的提交《财务状况报告及税收、社会保障资金缴纳情况承诺函》，格式详见采购文件）；</w:t>
      </w:r>
    </w:p>
    <w:p w14:paraId="3968CC54">
      <w:pPr>
        <w:spacing w:line="336" w:lineRule="auto"/>
        <w:ind w:firstLine="240"/>
        <w:jc w:val="left"/>
        <w:rPr>
          <w:rFonts w:ascii="宋体" w:hAnsi="宋体" w:cs="宋体"/>
          <w:color w:val="auto"/>
          <w:highlight w:val="none"/>
        </w:rPr>
      </w:pPr>
      <w:r>
        <w:rPr>
          <w:rFonts w:hint="eastAsia" w:ascii="宋体" w:hAnsi="宋体" w:cs="宋体"/>
          <w:color w:val="auto"/>
          <w:highlight w:val="none"/>
        </w:rPr>
        <w:t>（4）具备履行合同所必需的设备和专业技术能力的声明及证明材料；</w:t>
      </w:r>
    </w:p>
    <w:p w14:paraId="0EEB3C22">
      <w:pPr>
        <w:spacing w:line="336" w:lineRule="auto"/>
        <w:ind w:firstLine="240"/>
        <w:rPr>
          <w:color w:val="auto"/>
          <w:highlight w:val="none"/>
        </w:rPr>
      </w:pPr>
      <w:r>
        <w:rPr>
          <w:rFonts w:hint="eastAsia" w:ascii="宋体" w:hAnsi="宋体" w:cs="宋体"/>
          <w:color w:val="auto"/>
          <w:highlight w:val="none"/>
        </w:rPr>
        <w:t>（5）参加政府采购活动前三年内在经营活动中没有重大违法记录的书面声明；</w:t>
      </w:r>
    </w:p>
    <w:p w14:paraId="5C8F65A9">
      <w:pPr>
        <w:spacing w:line="336" w:lineRule="auto"/>
        <w:ind w:firstLine="480"/>
        <w:rPr>
          <w:rFonts w:ascii="宋体" w:hAnsi="宋体" w:cs="宋体"/>
          <w:color w:val="auto"/>
          <w:highlight w:val="none"/>
        </w:rPr>
      </w:pPr>
      <w:r>
        <w:rPr>
          <w:rFonts w:hint="eastAsia" w:ascii="宋体" w:hAnsi="宋体" w:cs="宋体"/>
          <w:color w:val="auto"/>
          <w:highlight w:val="none"/>
        </w:rPr>
        <w:t>2</w:t>
      </w:r>
      <w:r>
        <w:rPr>
          <w:rFonts w:ascii="宋体" w:hAnsi="宋体" w:cs="宋体"/>
          <w:color w:val="auto"/>
          <w:highlight w:val="none"/>
        </w:rPr>
        <w:t>、落实政府采购政策需满足的资格要求：</w:t>
      </w:r>
      <w:r>
        <w:rPr>
          <w:rFonts w:hint="eastAsia" w:ascii="宋体" w:hAnsi="宋体" w:eastAsia="宋体" w:cs="宋体"/>
          <w:b/>
          <w:bCs/>
          <w:color w:val="auto"/>
          <w:sz w:val="24"/>
          <w:highlight w:val="none"/>
        </w:rPr>
        <w:t>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ascii="宋体" w:hAnsi="宋体" w:cs="宋体"/>
          <w:color w:val="auto"/>
          <w:highlight w:val="none"/>
        </w:rPr>
        <w:t>。</w:t>
      </w:r>
    </w:p>
    <w:p w14:paraId="52350792">
      <w:pPr>
        <w:spacing w:line="336" w:lineRule="auto"/>
        <w:ind w:firstLine="480"/>
        <w:rPr>
          <w:rFonts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w:t>
      </w:r>
      <w:r>
        <w:rPr>
          <w:rFonts w:hint="eastAsia" w:ascii="宋体" w:hAnsi="宋体" w:cs="宋体"/>
          <w:color w:val="auto"/>
          <w:highlight w:val="none"/>
        </w:rPr>
        <w:t>本项目</w:t>
      </w:r>
      <w:r>
        <w:rPr>
          <w:rFonts w:hint="eastAsia" w:ascii="宋体" w:hAnsi="宋体" w:cs="宋体"/>
          <w:b/>
          <w:bCs/>
          <w:color w:val="auto"/>
          <w:highlight w:val="none"/>
          <w:u w:val="single"/>
        </w:rPr>
        <w:t>不接受</w:t>
      </w:r>
      <w:r>
        <w:rPr>
          <w:rFonts w:hint="eastAsia" w:ascii="宋体" w:hAnsi="宋体" w:cs="宋体"/>
          <w:color w:val="auto"/>
          <w:highlight w:val="none"/>
        </w:rPr>
        <w:t>联合体参与磋商。</w:t>
      </w:r>
    </w:p>
    <w:p w14:paraId="2C9F8022">
      <w:pPr>
        <w:pStyle w:val="59"/>
        <w:spacing w:line="336" w:lineRule="auto"/>
        <w:ind w:firstLine="480"/>
        <w:jc w:val="left"/>
        <w:rPr>
          <w:rFonts w:ascii="宋体" w:hAnsi="宋体" w:cs="宋体"/>
          <w:color w:val="auto"/>
          <w:sz w:val="24"/>
          <w:highlight w:val="none"/>
          <w:lang w:val="zh-TW" w:eastAsia="zh-TW"/>
        </w:rPr>
      </w:pPr>
      <w:r>
        <w:rPr>
          <w:rFonts w:hint="eastAsia" w:ascii="宋体" w:hAnsi="宋体" w:cs="宋体"/>
          <w:color w:val="auto"/>
          <w:sz w:val="24"/>
          <w:highlight w:val="none"/>
        </w:rPr>
        <w:t>4、</w:t>
      </w:r>
      <w:r>
        <w:rPr>
          <w:rFonts w:hint="eastAsia" w:ascii="宋体" w:hAnsi="宋体" w:cs="宋体"/>
          <w:color w:val="auto"/>
          <w:sz w:val="24"/>
          <w:highlight w:val="none"/>
          <w:lang w:val="zh-TW" w:eastAsia="zh-TW"/>
        </w:rPr>
        <w:t>本项目的其他资格要求：</w:t>
      </w:r>
    </w:p>
    <w:p w14:paraId="5F555384">
      <w:pPr>
        <w:pStyle w:val="59"/>
        <w:spacing w:line="336" w:lineRule="auto"/>
        <w:ind w:firstLine="210"/>
        <w:jc w:val="left"/>
        <w:rPr>
          <w:rFonts w:ascii="宋体" w:hAnsi="宋体" w:cs="宋体"/>
          <w:color w:val="auto"/>
          <w:sz w:val="24"/>
          <w:highlight w:val="none"/>
          <w:lang w:val="zh-TW" w:eastAsia="zh-TW"/>
        </w:rPr>
      </w:pPr>
      <w:r>
        <w:rPr>
          <w:rFonts w:hint="eastAsia"/>
          <w:color w:val="auto"/>
          <w:szCs w:val="21"/>
          <w:highlight w:val="none"/>
        </w:rPr>
        <w:t>（1）</w:t>
      </w:r>
      <w:r>
        <w:rPr>
          <w:rFonts w:hint="eastAsia" w:ascii="宋体" w:hAnsi="宋体" w:cs="宋体"/>
          <w:color w:val="auto"/>
          <w:sz w:val="24"/>
          <w:highlight w:val="none"/>
          <w:lang w:val="zh-TW" w:eastAsia="zh-TW"/>
        </w:rPr>
        <w:t>供应商无行贿、无借牌挂靠行为，采用由供应商自行承诺方式（按磋商文件格式）</w:t>
      </w:r>
    </w:p>
    <w:p w14:paraId="6E6621A0">
      <w:pPr>
        <w:pStyle w:val="194"/>
        <w:spacing w:line="336" w:lineRule="auto"/>
        <w:ind w:firstLine="240"/>
        <w:rPr>
          <w:rFonts w:hint="default" w:ascii="宋体" w:hAnsi="宋体" w:eastAsia="宋体" w:cs="宋体"/>
          <w:color w:val="auto"/>
          <w:sz w:val="24"/>
          <w:szCs w:val="24"/>
          <w:highlight w:val="none"/>
        </w:rPr>
      </w:pPr>
      <w:r>
        <w:rPr>
          <w:rFonts w:ascii="宋体" w:hAnsi="宋体" w:eastAsia="宋体" w:cs="宋体"/>
          <w:color w:val="auto"/>
          <w:sz w:val="24"/>
          <w:szCs w:val="24"/>
          <w:highlight w:val="none"/>
          <w:lang w:val="zh-TW" w:eastAsia="zh-TW"/>
        </w:rPr>
        <w:t>（</w:t>
      </w:r>
      <w:r>
        <w:rPr>
          <w:rFonts w:ascii="宋体" w:hAnsi="宋体" w:eastAsia="宋体" w:cs="宋体"/>
          <w:color w:val="auto"/>
          <w:sz w:val="24"/>
          <w:szCs w:val="24"/>
          <w:highlight w:val="none"/>
        </w:rPr>
        <w:t>2</w:t>
      </w:r>
      <w:r>
        <w:rPr>
          <w:rFonts w:ascii="宋体" w:hAnsi="宋体" w:eastAsia="宋体" w:cs="宋体"/>
          <w:color w:val="auto"/>
          <w:sz w:val="24"/>
          <w:szCs w:val="24"/>
          <w:highlight w:val="none"/>
          <w:lang w:val="zh-TW" w:eastAsia="zh-TW"/>
        </w:rPr>
        <w:t>）若投标人法定代表人参与投标，则仅需提供法定代表人身份证；若授权代理人参与投标，则需提供企业法人委托书、授权人身份证、被授权人身份证；</w:t>
      </w:r>
    </w:p>
    <w:p w14:paraId="1B35A0B5">
      <w:pPr>
        <w:pStyle w:val="59"/>
        <w:spacing w:line="336" w:lineRule="auto"/>
        <w:ind w:firstLine="240"/>
        <w:jc w:val="left"/>
        <w:rPr>
          <w:rFonts w:ascii="宋体" w:hAnsi="宋体" w:cs="宋体"/>
          <w:color w:val="auto"/>
          <w:sz w:val="24"/>
          <w:highlight w:val="none"/>
          <w:lang w:val="zh-TW" w:eastAsia="zh-TW"/>
        </w:rPr>
      </w:pPr>
      <w:r>
        <w:rPr>
          <w:rFonts w:ascii="宋体" w:hAnsi="宋体" w:cs="宋体"/>
          <w:color w:val="auto"/>
          <w:sz w:val="24"/>
          <w:highlight w:val="none"/>
          <w:lang w:val="zh-TW" w:eastAsia="zh-TW"/>
        </w:rPr>
        <w:t>（</w:t>
      </w:r>
      <w:r>
        <w:rPr>
          <w:rFonts w:hint="eastAsia" w:ascii="宋体" w:hAnsi="宋体" w:cs="宋体"/>
          <w:color w:val="auto"/>
          <w:sz w:val="24"/>
          <w:highlight w:val="none"/>
        </w:rPr>
        <w:t>3</w:t>
      </w:r>
      <w:r>
        <w:rPr>
          <w:rFonts w:ascii="宋体" w:hAnsi="宋体" w:cs="宋体"/>
          <w:color w:val="auto"/>
          <w:sz w:val="24"/>
          <w:highlight w:val="none"/>
          <w:lang w:val="zh-TW" w:eastAsia="zh-TW"/>
        </w:rPr>
        <w:t>）投标单位负责人为同一人或者存在直接控股、管理关系的不同供应商，不得参加同一合同项下的政府采购活动。否则，相关投标均无效；</w:t>
      </w:r>
    </w:p>
    <w:p w14:paraId="17CB0DC0">
      <w:pPr>
        <w:spacing w:line="336" w:lineRule="auto"/>
        <w:ind w:firstLine="240"/>
        <w:rPr>
          <w:rFonts w:ascii="宋体" w:hAnsi="宋体" w:cs="宋体"/>
          <w:color w:val="auto"/>
          <w:highlight w:val="none"/>
        </w:rPr>
      </w:pPr>
      <w:r>
        <w:rPr>
          <w:rFonts w:hint="eastAsia" w:ascii="宋体" w:hAnsi="宋体" w:cs="宋体"/>
          <w:color w:val="auto"/>
          <w:highlight w:val="none"/>
        </w:rPr>
        <w:t>（4）法律法规规定的其他条件。</w:t>
      </w:r>
    </w:p>
    <w:p w14:paraId="529C4939">
      <w:pPr>
        <w:spacing w:line="336" w:lineRule="auto"/>
        <w:ind w:firstLine="240"/>
        <w:rPr>
          <w:rFonts w:ascii="宋体" w:hAnsi="宋体" w:cs="宋体"/>
          <w:color w:val="auto"/>
          <w:highlight w:val="none"/>
        </w:rPr>
      </w:pPr>
      <w:r>
        <w:rPr>
          <w:rFonts w:hint="eastAsia" w:ascii="宋体" w:hAnsi="宋体" w:cs="宋体"/>
          <w:color w:val="auto"/>
          <w:highlight w:val="none"/>
        </w:rPr>
        <w:t>（5）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中国政府采购网，对供应商信用记录情况进行查询，查询结果页面打印留存。）</w:t>
      </w:r>
    </w:p>
    <w:p w14:paraId="08E8B84C">
      <w:pPr>
        <w:spacing w:line="336" w:lineRule="auto"/>
        <w:ind w:firstLine="482"/>
        <w:rPr>
          <w:rFonts w:ascii="宋体" w:hAnsi="宋体" w:cs="宋体"/>
          <w:b/>
          <w:bCs/>
          <w:color w:val="auto"/>
          <w:highlight w:val="none"/>
        </w:rPr>
      </w:pPr>
      <w:r>
        <w:rPr>
          <w:rFonts w:hint="eastAsia" w:ascii="宋体" w:hAnsi="宋体" w:cs="宋体"/>
          <w:b/>
          <w:bCs/>
          <w:color w:val="auto"/>
          <w:highlight w:val="none"/>
        </w:rPr>
        <w:t>三、获取磋商文件</w:t>
      </w:r>
    </w:p>
    <w:p w14:paraId="6B0C2931">
      <w:pPr>
        <w:spacing w:line="336"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1、时间：自招标</w:t>
      </w:r>
      <w:r>
        <w:rPr>
          <w:rFonts w:hint="eastAsia" w:ascii="宋体" w:hAnsi="宋体" w:eastAsia="宋体" w:cs="宋体"/>
          <w:color w:val="auto"/>
          <w:highlight w:val="none"/>
          <w:lang w:val="en-US" w:eastAsia="zh-CN"/>
        </w:rPr>
        <w:t>文件</w:t>
      </w:r>
      <w:r>
        <w:rPr>
          <w:rFonts w:hint="eastAsia" w:ascii="宋体" w:hAnsi="宋体" w:eastAsia="宋体" w:cs="宋体"/>
          <w:color w:val="auto"/>
          <w:highlight w:val="none"/>
        </w:rPr>
        <w:t>公告发布之日起</w:t>
      </w:r>
      <w:r>
        <w:rPr>
          <w:rFonts w:hint="eastAsia" w:ascii="宋体" w:hAnsi="宋体" w:eastAsia="宋体" w:cs="宋体"/>
          <w:color w:val="auto"/>
          <w:highlight w:val="none"/>
          <w:lang w:val="en-US" w:eastAsia="zh-CN"/>
        </w:rPr>
        <w:t>5个工作日</w:t>
      </w:r>
      <w:r>
        <w:rPr>
          <w:rFonts w:hint="eastAsia" w:ascii="宋体" w:hAnsi="宋体" w:eastAsia="宋体" w:cs="宋体"/>
          <w:color w:val="auto"/>
          <w:highlight w:val="none"/>
        </w:rPr>
        <w:t>。</w:t>
      </w:r>
    </w:p>
    <w:p w14:paraId="55296F82">
      <w:pPr>
        <w:spacing w:line="336"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2、方式：在“江苏政府采购网”自行免费下载磋商文件。</w:t>
      </w:r>
    </w:p>
    <w:p w14:paraId="04EFDAFE">
      <w:pPr>
        <w:spacing w:line="336"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潜在供应商访问电子招标响应交易平台的网络地址和方法：</w:t>
      </w:r>
    </w:p>
    <w:p w14:paraId="2D2E83A4">
      <w:pPr>
        <w:spacing w:line="336" w:lineRule="auto"/>
        <w:ind w:firstLine="240"/>
        <w:rPr>
          <w:rFonts w:ascii="宋体" w:hAnsi="宋体" w:cs="宋体"/>
          <w:color w:val="auto"/>
          <w:highlight w:val="none"/>
        </w:rPr>
      </w:pPr>
      <w:r>
        <w:rPr>
          <w:rFonts w:hint="eastAsia" w:ascii="宋体" w:hAnsi="宋体" w:cs="宋体"/>
          <w:color w:val="auto"/>
          <w:highlight w:val="none"/>
        </w:rPr>
        <w:t>（1）登录http://jszfcg.jsczt.cn/ ，或进入江苏政府采购网，点击“苏采云”进入系统。</w:t>
      </w:r>
    </w:p>
    <w:p w14:paraId="0F83CC18">
      <w:pPr>
        <w:spacing w:line="336" w:lineRule="auto"/>
        <w:ind w:firstLine="240"/>
        <w:rPr>
          <w:rFonts w:ascii="宋体" w:hAnsi="宋体" w:cs="宋体"/>
          <w:color w:val="auto"/>
          <w:highlight w:val="none"/>
        </w:rPr>
      </w:pPr>
      <w:r>
        <w:rPr>
          <w:rFonts w:hint="eastAsia" w:ascii="宋体" w:hAnsi="宋体" w:cs="宋体"/>
          <w:color w:val="auto"/>
          <w:highlight w:val="none"/>
        </w:rPr>
        <w:t>（2）</w:t>
      </w:r>
      <w:r>
        <w:rPr>
          <w:rFonts w:ascii="宋体" w:hAnsi="宋体" w:cs="宋体"/>
          <w:color w:val="auto"/>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ascii="宋体" w:hAnsi="宋体" w:cs="宋体"/>
          <w:b/>
          <w:bCs/>
          <w:color w:val="auto"/>
          <w:highlight w:val="none"/>
        </w:rPr>
        <w:t>具体见《江苏省政府采购管理交易系统（苏采云）供应商操作手册》</w:t>
      </w:r>
      <w:r>
        <w:rPr>
          <w:rFonts w:ascii="宋体" w:hAnsi="宋体" w:cs="宋体"/>
          <w:color w:val="auto"/>
          <w:highlight w:val="none"/>
        </w:rPr>
        <w:t>。</w:t>
      </w:r>
    </w:p>
    <w:p w14:paraId="00754491">
      <w:pPr>
        <w:spacing w:line="336" w:lineRule="auto"/>
        <w:ind w:firstLine="240"/>
        <w:rPr>
          <w:rFonts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潜在供应商访问“苏采云”系统的网络地址和方法：“苏采云”系统的网址：http://jszfcg.jsczt.cn/。</w:t>
      </w:r>
    </w:p>
    <w:p w14:paraId="1C433E9A">
      <w:pPr>
        <w:spacing w:line="336" w:lineRule="auto"/>
        <w:ind w:firstLine="240"/>
        <w:rPr>
          <w:rFonts w:ascii="宋体" w:hAnsi="宋体" w:cs="宋体"/>
          <w:color w:val="auto"/>
          <w:highlight w:val="none"/>
        </w:rPr>
      </w:pPr>
      <w:r>
        <w:rPr>
          <w:rFonts w:hint="eastAsia" w:ascii="宋体" w:hAnsi="宋体" w:cs="宋体"/>
          <w:color w:val="auto"/>
          <w:highlight w:val="none"/>
        </w:rPr>
        <w:t>（4）</w:t>
      </w:r>
      <w:r>
        <w:rPr>
          <w:rFonts w:ascii="宋体" w:hAnsi="宋体" w:cs="宋体"/>
          <w:color w:val="auto"/>
          <w:highlight w:val="none"/>
        </w:rPr>
        <w:t>“CA数字证书”的获取：</w:t>
      </w:r>
    </w:p>
    <w:p w14:paraId="61F70044">
      <w:pPr>
        <w:spacing w:line="336" w:lineRule="auto"/>
        <w:ind w:firstLine="480"/>
        <w:rPr>
          <w:rFonts w:ascii="宋体" w:hAnsi="宋体" w:cs="宋体"/>
          <w:color w:val="auto"/>
          <w:highlight w:val="none"/>
        </w:rPr>
      </w:pPr>
      <w:r>
        <w:rPr>
          <w:rFonts w:ascii="宋体" w:hAnsi="宋体" w:cs="宋体"/>
          <w:color w:val="auto"/>
          <w:highlight w:val="none"/>
        </w:rPr>
        <w:t>响应供应商需办理“CA 数字证书”，CA办理指南及“苏采云”操作手册可至江苏省政府采购网―办事指南-资料下载中心下载。</w:t>
      </w:r>
    </w:p>
    <w:p w14:paraId="4EC1E332">
      <w:pPr>
        <w:spacing w:line="336" w:lineRule="auto"/>
        <w:ind w:firstLine="480"/>
        <w:rPr>
          <w:rFonts w:ascii="宋体" w:hAnsi="宋体" w:cs="宋体"/>
          <w:color w:val="auto"/>
          <w:highlight w:val="none"/>
        </w:rPr>
      </w:pPr>
      <w:r>
        <w:rPr>
          <w:rFonts w:ascii="宋体" w:hAnsi="宋体" w:cs="宋体"/>
          <w:color w:val="auto"/>
          <w:highlight w:val="none"/>
        </w:rPr>
        <w:t>通过苏采云系统首页（http://jszfcg.jscz.gov.cn/）的“苏采云控件驱动下载”，选择“政务CA、方正签章控件驱动安装包及安装说明”下载安装，具体安装方法详见下载文件内的《安装说明》。</w:t>
      </w:r>
    </w:p>
    <w:p w14:paraId="3BE299F1">
      <w:pPr>
        <w:spacing w:line="336" w:lineRule="auto"/>
        <w:ind w:firstLine="240"/>
        <w:rPr>
          <w:rFonts w:ascii="宋体" w:hAnsi="宋体" w:cs="宋体"/>
          <w:color w:val="auto"/>
          <w:highlight w:val="none"/>
        </w:rPr>
      </w:pPr>
      <w:r>
        <w:rPr>
          <w:rFonts w:hint="eastAsia" w:ascii="宋体" w:hAnsi="宋体" w:cs="宋体"/>
          <w:color w:val="auto"/>
          <w:highlight w:val="none"/>
        </w:rPr>
        <w:t>（5）</w:t>
      </w:r>
      <w:r>
        <w:rPr>
          <w:rFonts w:ascii="宋体" w:hAnsi="宋体" w:cs="宋体"/>
          <w:color w:val="auto"/>
          <w:highlight w:val="none"/>
        </w:rPr>
        <w:t>采购文件（后缀名为“.kedt”）、供应商操作手册及政府采购客户端工具可通过“苏采云”系统--已报名项目--报名详情页面内相应链接进行下载。</w:t>
      </w:r>
    </w:p>
    <w:p w14:paraId="5F00BBAE">
      <w:pPr>
        <w:spacing w:line="336" w:lineRule="auto"/>
        <w:ind w:firstLine="240"/>
        <w:rPr>
          <w:rFonts w:ascii="宋体" w:hAnsi="宋体" w:cs="宋体"/>
          <w:color w:val="auto"/>
          <w:highlight w:val="none"/>
        </w:rPr>
      </w:pPr>
      <w:r>
        <w:rPr>
          <w:rFonts w:hint="eastAsia" w:ascii="宋体" w:hAnsi="宋体" w:cs="宋体"/>
          <w:color w:val="auto"/>
          <w:highlight w:val="none"/>
        </w:rPr>
        <w:t>（6）</w:t>
      </w:r>
      <w:r>
        <w:rPr>
          <w:rFonts w:ascii="宋体" w:hAnsi="宋体" w:cs="宋体"/>
          <w:color w:val="auto"/>
          <w:highlight w:val="none"/>
        </w:rPr>
        <w:t>采购人或采购代理机构将数据电文形式的采购文件加载至“苏采云”系统，供潜在供应商下载或者查阅。</w:t>
      </w:r>
    </w:p>
    <w:p w14:paraId="629B07D4">
      <w:pPr>
        <w:keepNext w:val="0"/>
        <w:keepLines w:val="0"/>
        <w:pageBreakBefore w:val="0"/>
        <w:widowControl w:val="0"/>
        <w:spacing w:line="360" w:lineRule="auto"/>
        <w:ind w:firstLine="240"/>
        <w:rPr>
          <w:rFonts w:ascii="宋体" w:hAnsi="宋体" w:cs="宋体"/>
          <w:color w:val="auto"/>
          <w:highlight w:val="none"/>
        </w:rPr>
      </w:pPr>
      <w:r>
        <w:rPr>
          <w:rFonts w:hint="eastAsia" w:ascii="宋体" w:hAnsi="宋体" w:cs="宋体"/>
          <w:color w:val="auto"/>
          <w:highlight w:val="none"/>
        </w:rPr>
        <w:t>（7）</w:t>
      </w:r>
      <w:r>
        <w:rPr>
          <w:rFonts w:ascii="宋体" w:hAnsi="宋体" w:cs="宋体"/>
          <w:color w:val="auto"/>
          <w:highlight w:val="none"/>
        </w:rPr>
        <w:t>请潜在供应商提前安装相应的控件（详见《江苏省政府采购管理交易系统（苏采云）供应商操作手册》）并使用谷歌浏览器登录“苏采云”系统参与不见面开评标。</w:t>
      </w:r>
    </w:p>
    <w:p w14:paraId="339670A3">
      <w:pPr>
        <w:keepNext w:val="0"/>
        <w:keepLines w:val="0"/>
        <w:pageBreakBefore w:val="0"/>
        <w:widowControl w:val="0"/>
        <w:spacing w:line="360" w:lineRule="auto"/>
        <w:ind w:firstLine="482"/>
        <w:rPr>
          <w:rFonts w:ascii="宋体" w:hAnsi="宋体" w:cs="宋体"/>
          <w:b/>
          <w:bCs/>
          <w:color w:val="auto"/>
          <w:highlight w:val="none"/>
        </w:rPr>
      </w:pPr>
      <w:r>
        <w:rPr>
          <w:rFonts w:ascii="宋体" w:hAnsi="宋体" w:cs="宋体"/>
          <w:b/>
          <w:bCs/>
          <w:color w:val="auto"/>
          <w:highlight w:val="none"/>
        </w:rPr>
        <w:t>注：如潜在供应商未按上述要求操作，将自行承担所产生的风险。</w:t>
      </w:r>
    </w:p>
    <w:p w14:paraId="79EF4E70">
      <w:pPr>
        <w:keepNext w:val="0"/>
        <w:keepLines w:val="0"/>
        <w:pageBreakBefore w:val="0"/>
        <w:widowControl w:val="0"/>
        <w:spacing w:line="360" w:lineRule="auto"/>
        <w:ind w:firstLine="482"/>
        <w:rPr>
          <w:rFonts w:ascii="宋体" w:hAnsi="宋体" w:cs="宋体"/>
          <w:b/>
          <w:bCs/>
          <w:color w:val="auto"/>
          <w:highlight w:val="none"/>
        </w:rPr>
      </w:pPr>
      <w:r>
        <w:rPr>
          <w:rFonts w:hint="eastAsia" w:ascii="宋体" w:hAnsi="宋体" w:cs="宋体"/>
          <w:b/>
          <w:bCs/>
          <w:color w:val="auto"/>
          <w:highlight w:val="none"/>
        </w:rPr>
        <w:t>四、提交响应文件截止时间</w:t>
      </w:r>
    </w:p>
    <w:p w14:paraId="54A36AAD">
      <w:pPr>
        <w:keepNext w:val="0"/>
        <w:keepLines w:val="0"/>
        <w:pageBreakBefore w:val="0"/>
        <w:widowControl w:val="0"/>
        <w:spacing w:line="360" w:lineRule="auto"/>
        <w:ind w:firstLine="420"/>
        <w:rPr>
          <w:rFonts w:ascii="宋体" w:hAnsi="宋体" w:cs="宋体"/>
          <w:b/>
          <w:bCs/>
          <w:color w:val="auto"/>
          <w:highlight w:val="none"/>
        </w:rPr>
      </w:pPr>
      <w:r>
        <w:rPr>
          <w:rFonts w:hint="eastAsia" w:ascii="宋体" w:hAnsi="宋体" w:cs="宋体"/>
          <w:b/>
          <w:bCs/>
          <w:color w:val="auto"/>
          <w:highlight w:val="none"/>
        </w:rPr>
        <w:t>1、响应文件接收（上传）截止时间：2025年</w:t>
      </w:r>
      <w:r>
        <w:rPr>
          <w:rFonts w:hint="eastAsia" w:ascii="宋体" w:hAnsi="宋体" w:cs="宋体"/>
          <w:b/>
          <w:bCs/>
          <w:color w:val="auto"/>
          <w:highlight w:val="none"/>
          <w:lang w:val="en-US" w:eastAsia="zh-CN"/>
        </w:rPr>
        <w:t>11</w:t>
      </w:r>
      <w:r>
        <w:rPr>
          <w:rFonts w:hint="eastAsia" w:ascii="宋体" w:hAnsi="宋体" w:cs="宋体"/>
          <w:b/>
          <w:bCs/>
          <w:color w:val="auto"/>
          <w:highlight w:val="none"/>
        </w:rPr>
        <w:t>月</w:t>
      </w:r>
      <w:r>
        <w:rPr>
          <w:rFonts w:hint="eastAsia" w:ascii="宋体" w:hAnsi="宋体" w:cs="宋体"/>
          <w:b/>
          <w:bCs/>
          <w:color w:val="auto"/>
          <w:highlight w:val="none"/>
          <w:lang w:val="en-US" w:eastAsia="zh-CN"/>
        </w:rPr>
        <w:t>28</w:t>
      </w:r>
      <w:r>
        <w:rPr>
          <w:rFonts w:hint="eastAsia" w:ascii="宋体" w:hAnsi="宋体" w:cs="宋体"/>
          <w:b/>
          <w:bCs/>
          <w:color w:val="auto"/>
          <w:highlight w:val="none"/>
        </w:rPr>
        <w:t>日</w:t>
      </w:r>
      <w:r>
        <w:rPr>
          <w:rFonts w:hint="eastAsia" w:ascii="宋体" w:hAnsi="宋体" w:cs="宋体"/>
          <w:b/>
          <w:bCs/>
          <w:color w:val="auto"/>
          <w:highlight w:val="none"/>
          <w:lang w:val="en-US" w:eastAsia="zh-CN"/>
        </w:rPr>
        <w:t>9</w:t>
      </w:r>
      <w:r>
        <w:rPr>
          <w:rFonts w:hint="eastAsia" w:ascii="宋体" w:hAnsi="宋体" w:cs="宋体"/>
          <w:b/>
          <w:bCs/>
          <w:color w:val="auto"/>
          <w:highlight w:val="none"/>
        </w:rPr>
        <w:t>：00（北京时间）</w:t>
      </w:r>
    </w:p>
    <w:p w14:paraId="3A929479">
      <w:pPr>
        <w:keepNext w:val="0"/>
        <w:keepLines w:val="0"/>
        <w:pageBreakBefore w:val="0"/>
        <w:widowControl w:val="0"/>
        <w:spacing w:line="360" w:lineRule="auto"/>
        <w:ind w:firstLine="480"/>
        <w:rPr>
          <w:rFonts w:ascii="宋体" w:hAnsi="宋体" w:cs="宋体"/>
          <w:b/>
          <w:bCs/>
          <w:color w:val="auto"/>
          <w:highlight w:val="none"/>
        </w:rPr>
      </w:pPr>
      <w:r>
        <w:rPr>
          <w:rFonts w:hint="eastAsia" w:ascii="宋体" w:hAnsi="宋体" w:cs="宋体"/>
          <w:b/>
          <w:bCs/>
          <w:color w:val="auto"/>
          <w:highlight w:val="none"/>
        </w:rPr>
        <w:t>2、地址：“苏采云”政府采购交易系统网上开标大厅</w:t>
      </w:r>
    </w:p>
    <w:p w14:paraId="1604BCE8">
      <w:pPr>
        <w:keepNext w:val="0"/>
        <w:keepLines w:val="0"/>
        <w:pageBreakBefore w:val="0"/>
        <w:widowControl w:val="0"/>
        <w:spacing w:line="360" w:lineRule="auto"/>
        <w:ind w:firstLine="480"/>
        <w:rPr>
          <w:rFonts w:ascii="宋体" w:hAnsi="宋体"/>
          <w:bCs/>
          <w:color w:val="auto"/>
          <w:highlight w:val="none"/>
        </w:rPr>
      </w:pPr>
      <w:r>
        <w:rPr>
          <w:rFonts w:hint="eastAsia" w:ascii="宋体" w:hAnsi="宋体" w:cs="宋体"/>
          <w:b/>
          <w:bCs/>
          <w:color w:val="auto"/>
          <w:highlight w:val="none"/>
        </w:rPr>
        <w:t>3、</w:t>
      </w:r>
      <w:r>
        <w:rPr>
          <w:rFonts w:hint="eastAsia" w:ascii="宋体" w:hAnsi="宋体" w:cs="宋体"/>
          <w:color w:val="auto"/>
          <w:highlight w:val="none"/>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highlight w:val="none"/>
        </w:rPr>
        <w:t>投标供应商解密限定在开标后30分钟之内完成</w:t>
      </w:r>
      <w:r>
        <w:rPr>
          <w:rFonts w:hint="eastAsia" w:ascii="宋体" w:hAnsi="宋体" w:cs="宋体"/>
          <w:color w:val="auto"/>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1E00F46">
      <w:pPr>
        <w:keepNext w:val="0"/>
        <w:keepLines w:val="0"/>
        <w:pageBreakBefore w:val="0"/>
        <w:widowControl w:val="0"/>
        <w:spacing w:line="360" w:lineRule="auto"/>
        <w:ind w:firstLine="482"/>
        <w:rPr>
          <w:rFonts w:ascii="宋体" w:hAnsi="宋体" w:cs="宋体"/>
          <w:b/>
          <w:bCs/>
          <w:color w:val="auto"/>
          <w:highlight w:val="none"/>
        </w:rPr>
      </w:pPr>
      <w:bookmarkStart w:id="17" w:name="_Toc35393634"/>
      <w:bookmarkStart w:id="18" w:name="_Toc35393803"/>
      <w:bookmarkStart w:id="19" w:name="_Toc28359017"/>
      <w:bookmarkStart w:id="20" w:name="_Toc28359094"/>
      <w:r>
        <w:rPr>
          <w:rFonts w:hint="eastAsia" w:ascii="宋体" w:hAnsi="宋体" w:cs="宋体"/>
          <w:b/>
          <w:bCs/>
          <w:color w:val="auto"/>
          <w:highlight w:val="none"/>
        </w:rPr>
        <w:t>五、公告期限</w:t>
      </w:r>
      <w:bookmarkEnd w:id="17"/>
      <w:bookmarkEnd w:id="18"/>
      <w:bookmarkEnd w:id="19"/>
      <w:bookmarkEnd w:id="20"/>
    </w:p>
    <w:p w14:paraId="3FA59D32">
      <w:pPr>
        <w:keepNext w:val="0"/>
        <w:keepLines w:val="0"/>
        <w:pageBreakBefore w:val="0"/>
        <w:widowControl w:val="0"/>
        <w:spacing w:line="360" w:lineRule="auto"/>
        <w:ind w:firstLine="480"/>
        <w:rPr>
          <w:rFonts w:ascii="宋体" w:hAnsi="宋体" w:cs="宋体"/>
          <w:color w:val="auto"/>
          <w:highlight w:val="none"/>
        </w:rPr>
      </w:pPr>
      <w:r>
        <w:rPr>
          <w:rFonts w:hint="eastAsia" w:ascii="宋体" w:hAnsi="宋体" w:cs="宋体"/>
          <w:color w:val="auto"/>
          <w:highlight w:val="none"/>
        </w:rPr>
        <w:t>1、本项目公告期限时间为：自本公告发布之日起3个工作日。</w:t>
      </w:r>
    </w:p>
    <w:p w14:paraId="3C86EB35">
      <w:pPr>
        <w:keepNext w:val="0"/>
        <w:keepLines w:val="0"/>
        <w:pageBreakBefore w:val="0"/>
        <w:widowControl w:val="0"/>
        <w:spacing w:line="360" w:lineRule="auto"/>
        <w:ind w:firstLine="482"/>
        <w:rPr>
          <w:rFonts w:ascii="宋体" w:hAnsi="宋体" w:cs="宋体"/>
          <w:b/>
          <w:bCs/>
          <w:color w:val="auto"/>
          <w:highlight w:val="none"/>
        </w:rPr>
      </w:pPr>
      <w:r>
        <w:rPr>
          <w:rFonts w:hint="eastAsia" w:ascii="宋体" w:hAnsi="宋体" w:cs="宋体"/>
          <w:b/>
          <w:bCs/>
          <w:color w:val="auto"/>
          <w:highlight w:val="none"/>
        </w:rPr>
        <w:t>六、其他补充事宜</w:t>
      </w:r>
    </w:p>
    <w:p w14:paraId="7373A0A3">
      <w:pPr>
        <w:keepNext w:val="0"/>
        <w:keepLines w:val="0"/>
        <w:pageBreakBefore w:val="0"/>
        <w:widowControl w:val="0"/>
        <w:spacing w:line="360" w:lineRule="auto"/>
        <w:ind w:firstLine="480"/>
        <w:rPr>
          <w:rFonts w:ascii="宋体" w:hAnsi="宋体" w:cs="宋体"/>
          <w:color w:val="auto"/>
          <w:highlight w:val="none"/>
        </w:rPr>
      </w:pPr>
      <w:r>
        <w:rPr>
          <w:rFonts w:hint="eastAsia" w:ascii="宋体" w:hAnsi="宋体" w:cs="宋体"/>
          <w:color w:val="auto"/>
          <w:highlight w:val="none"/>
        </w:rPr>
        <w:t>1、根据苏财购[2020]52号文规定，本次磋商不收取磋商保证金。</w:t>
      </w:r>
    </w:p>
    <w:p w14:paraId="6C2EB5CD">
      <w:pPr>
        <w:pStyle w:val="37"/>
        <w:keepNext w:val="0"/>
        <w:keepLines w:val="0"/>
        <w:pageBreakBefore w:val="0"/>
        <w:widowControl w:val="0"/>
        <w:spacing w:before="0" w:beforeAutospacing="0" w:after="0" w:afterAutospacing="0" w:line="360" w:lineRule="auto"/>
        <w:ind w:firstLine="420"/>
        <w:contextualSpacing/>
        <w:rPr>
          <w:color w:val="auto"/>
          <w:highlight w:val="none"/>
        </w:rPr>
      </w:pPr>
      <w:r>
        <w:rPr>
          <w:rFonts w:hint="eastAsia"/>
          <w:color w:val="auto"/>
          <w:highlight w:val="none"/>
        </w:rPr>
        <w:t>2、本磋商文件中斜体且有下划线部分为实质性响应条件，如不满足将按无效响应文件处理。</w:t>
      </w:r>
    </w:p>
    <w:p w14:paraId="354E35D8">
      <w:pPr>
        <w:pStyle w:val="37"/>
        <w:keepNext w:val="0"/>
        <w:keepLines w:val="0"/>
        <w:pageBreakBefore w:val="0"/>
        <w:widowControl w:val="0"/>
        <w:spacing w:before="0" w:beforeAutospacing="0" w:after="0" w:afterAutospacing="0" w:line="360" w:lineRule="auto"/>
        <w:ind w:firstLine="420"/>
        <w:contextualSpacing/>
        <w:rPr>
          <w:color w:val="auto"/>
          <w:highlight w:val="none"/>
        </w:rPr>
      </w:pPr>
      <w:r>
        <w:rPr>
          <w:rFonts w:hint="eastAsia"/>
          <w:color w:val="auto"/>
          <w:highlight w:val="none"/>
        </w:rPr>
        <w:t>3、请供应商按照磋商文件规定的方式参与采购活动，如供应商未按要求去做，将自行承担所产生的风险。有关本次招标的事项若存在澄清或修改，敬请及时关注东海县政府采购中心在“江苏政府采购网”发布的信息更正公告。</w:t>
      </w:r>
    </w:p>
    <w:p w14:paraId="189ADDAF">
      <w:pPr>
        <w:pStyle w:val="37"/>
        <w:keepNext w:val="0"/>
        <w:keepLines w:val="0"/>
        <w:pageBreakBefore w:val="0"/>
        <w:widowControl w:val="0"/>
        <w:spacing w:before="0" w:beforeAutospacing="0" w:after="0" w:afterAutospacing="0" w:line="360" w:lineRule="auto"/>
        <w:ind w:firstLine="420"/>
        <w:contextualSpacing/>
        <w:rPr>
          <w:color w:val="auto"/>
          <w:highlight w:val="none"/>
        </w:rPr>
      </w:pPr>
      <w:r>
        <w:rPr>
          <w:rFonts w:hint="eastAsia"/>
          <w:color w:val="auto"/>
          <w:highlight w:val="none"/>
        </w:rPr>
        <w:t>4、已获取采购文件的供应商，不能参加本项目采购活动的，应当在递交投标（响应）文件截止前以书面形式提交放弃说明，对于未参加本项目采购活动，也未在递交投标（响应）文件截止前以书面形式提交放弃说明的供应商，将按照《江苏省政府采购信用管理暂行办法》等相关文件规定，视为一般失信行为，给予信用评价扣分。</w:t>
      </w:r>
    </w:p>
    <w:p w14:paraId="5C41B170">
      <w:pPr>
        <w:pStyle w:val="37"/>
        <w:keepNext w:val="0"/>
        <w:keepLines w:val="0"/>
        <w:pageBreakBefore w:val="0"/>
        <w:widowControl w:val="0"/>
        <w:spacing w:before="0" w:beforeAutospacing="0" w:after="0" w:afterAutospacing="0" w:line="360" w:lineRule="auto"/>
        <w:ind w:firstLine="420"/>
        <w:contextualSpacing/>
        <w:rPr>
          <w:b/>
          <w:bCs/>
          <w:color w:val="auto"/>
          <w:highlight w:val="none"/>
        </w:rPr>
      </w:pPr>
      <w:r>
        <w:rPr>
          <w:rFonts w:hint="eastAsia"/>
          <w:b/>
          <w:bCs/>
          <w:color w:val="auto"/>
          <w:highlight w:val="none"/>
        </w:rPr>
        <w:t>5、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2BECD1A6">
      <w:pPr>
        <w:pStyle w:val="37"/>
        <w:keepNext w:val="0"/>
        <w:keepLines w:val="0"/>
        <w:pageBreakBefore w:val="0"/>
        <w:widowControl w:val="0"/>
        <w:spacing w:before="0" w:beforeAutospacing="0" w:after="0" w:afterAutospacing="0" w:line="360" w:lineRule="auto"/>
        <w:ind w:firstLine="420"/>
        <w:contextualSpacing/>
        <w:rPr>
          <w:rFonts w:ascii="宋体" w:hAnsi="宋体" w:cs="宋体"/>
          <w:color w:val="auto"/>
          <w:highlight w:val="none"/>
        </w:rPr>
      </w:pPr>
      <w:r>
        <w:rPr>
          <w:rFonts w:hint="eastAsia"/>
          <w:color w:val="auto"/>
          <w:highlight w:val="none"/>
        </w:rPr>
        <w:t>6、本项目采购方式为竞争性磋商，评审过程中依次有磋商环节和多轮（最后）报价两个独立环节，</w:t>
      </w:r>
      <w:r>
        <w:rPr>
          <w:rFonts w:hint="eastAsia" w:ascii="宋体" w:hAnsi="宋体" w:cs="宋体"/>
          <w:color w:val="auto"/>
          <w:highlight w:val="none"/>
        </w:rPr>
        <w:t>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b/>
          <w:bCs/>
          <w:color w:val="auto"/>
          <w:highlight w:val="none"/>
        </w:rPr>
        <w:t>20分钟</w:t>
      </w:r>
      <w:r>
        <w:rPr>
          <w:rFonts w:hint="eastAsia" w:ascii="宋体" w:hAnsi="宋体" w:cs="宋体"/>
          <w:color w:val="auto"/>
          <w:highlight w:val="none"/>
        </w:rPr>
        <w:t>内填写并提交最后报价，未在磋商小组规定的时间内完成最后报价的视为放弃磋商，其磋商响应按无效响应处理。磋商环节结束后，供应商须在“报价”模块中等待报价环节指令。评审过程中不会另行通知，如供应商因自身原因错过相应环节，责任自负。</w:t>
      </w:r>
    </w:p>
    <w:p w14:paraId="70861581">
      <w:pPr>
        <w:keepNext w:val="0"/>
        <w:keepLines w:val="0"/>
        <w:pageBreakBefore w:val="0"/>
        <w:widowControl w:val="0"/>
        <w:spacing w:line="360" w:lineRule="auto"/>
        <w:ind w:firstLine="480"/>
        <w:rPr>
          <w:rFonts w:ascii="宋体" w:hAnsi="宋体" w:cs="宋体"/>
          <w:color w:val="auto"/>
          <w:highlight w:val="none"/>
        </w:rPr>
      </w:pPr>
      <w:r>
        <w:rPr>
          <w:rFonts w:hint="eastAsia" w:ascii="宋体" w:hAnsi="宋体" w:cs="宋体"/>
          <w:color w:val="auto"/>
          <w:highlight w:val="none"/>
        </w:rPr>
        <w:t>7、项目磋商活动模式：不见面远程开标模式，供应商在各自地点通过不见面交易系统参加开标会。</w:t>
      </w:r>
    </w:p>
    <w:p w14:paraId="372B0E60">
      <w:pPr>
        <w:spacing w:line="336" w:lineRule="auto"/>
        <w:ind w:firstLine="482"/>
        <w:rPr>
          <w:rFonts w:ascii="宋体" w:hAnsi="宋体" w:cs="宋体"/>
          <w:b/>
          <w:bCs/>
          <w:color w:val="auto"/>
          <w:highlight w:val="none"/>
        </w:rPr>
      </w:pPr>
      <w:r>
        <w:rPr>
          <w:rFonts w:hint="eastAsia" w:ascii="宋体" w:hAnsi="宋体" w:cs="宋体"/>
          <w:b/>
          <w:bCs/>
          <w:color w:val="auto"/>
          <w:highlight w:val="none"/>
        </w:rPr>
        <w:t>七、凡对本次采购提出询问，请按以下方式联系。</w:t>
      </w:r>
    </w:p>
    <w:p w14:paraId="69ED143B">
      <w:pPr>
        <w:keepNext w:val="0"/>
        <w:keepLines w:val="0"/>
        <w:pageBreakBefore w:val="0"/>
        <w:widowControl w:val="0"/>
        <w:spacing w:line="360" w:lineRule="auto"/>
        <w:ind w:firstLine="482"/>
        <w:rPr>
          <w:rFonts w:ascii="宋体" w:hAnsi="宋体" w:cs="宋体"/>
          <w:color w:val="auto"/>
          <w:highlight w:val="none"/>
        </w:rPr>
      </w:pPr>
      <w:r>
        <w:rPr>
          <w:rFonts w:hint="eastAsia" w:ascii="宋体" w:hAnsi="宋体" w:cs="宋体"/>
          <w:color w:val="auto"/>
          <w:highlight w:val="none"/>
        </w:rPr>
        <w:t>1、采购人信息</w:t>
      </w:r>
    </w:p>
    <w:p w14:paraId="4BB3727D">
      <w:pPr>
        <w:keepNext w:val="0"/>
        <w:keepLines w:val="0"/>
        <w:pageBreakBefore w:val="0"/>
        <w:widowControl w:val="0"/>
        <w:spacing w:line="360" w:lineRule="auto"/>
        <w:ind w:firstLine="482"/>
        <w:rPr>
          <w:rFonts w:hint="eastAsia" w:ascii="宋体" w:hAnsi="宋体" w:eastAsia="宋体" w:cs="宋体"/>
          <w:color w:val="auto"/>
          <w:highlight w:val="none"/>
          <w:lang w:eastAsia="zh-CN"/>
        </w:rPr>
      </w:pPr>
      <w:r>
        <w:rPr>
          <w:rFonts w:hint="eastAsia" w:ascii="宋体" w:hAnsi="宋体" w:cs="宋体"/>
          <w:color w:val="auto"/>
          <w:highlight w:val="none"/>
        </w:rPr>
        <w:t>名称：</w:t>
      </w:r>
      <w:r>
        <w:rPr>
          <w:rFonts w:hint="eastAsia" w:ascii="宋体" w:hAnsi="宋体" w:cs="宋体"/>
          <w:color w:val="auto"/>
          <w:highlight w:val="none"/>
          <w:lang w:eastAsia="zh-CN"/>
        </w:rPr>
        <w:t>东海县驼峰乡人民政府</w:t>
      </w:r>
    </w:p>
    <w:p w14:paraId="605A034F">
      <w:pPr>
        <w:keepNext w:val="0"/>
        <w:keepLines w:val="0"/>
        <w:pageBreakBefore w:val="0"/>
        <w:widowControl w:val="0"/>
        <w:spacing w:line="360" w:lineRule="auto"/>
        <w:ind w:firstLine="482"/>
        <w:rPr>
          <w:rFonts w:ascii="宋体" w:hAnsi="宋体" w:cs="宋体"/>
          <w:color w:val="auto"/>
          <w:highlight w:val="none"/>
        </w:rPr>
      </w:pPr>
      <w:r>
        <w:rPr>
          <w:rFonts w:hint="eastAsia" w:ascii="宋体" w:hAnsi="宋体" w:cs="宋体"/>
          <w:color w:val="auto"/>
          <w:highlight w:val="none"/>
        </w:rPr>
        <w:t>地</w:t>
      </w:r>
      <w:r>
        <w:rPr>
          <w:rFonts w:hint="eastAsia" w:ascii="宋体" w:hAnsi="宋体" w:cs="宋体"/>
          <w:color w:val="auto"/>
          <w:highlight w:val="none"/>
          <w:lang w:eastAsia="zh-CN"/>
        </w:rPr>
        <w:t>址：东海县驼峰乡人民政府驻地</w:t>
      </w:r>
    </w:p>
    <w:p w14:paraId="4997A122">
      <w:pPr>
        <w:keepNext w:val="0"/>
        <w:keepLines w:val="0"/>
        <w:pageBreakBefore w:val="0"/>
        <w:widowControl w:val="0"/>
        <w:spacing w:line="360" w:lineRule="auto"/>
        <w:ind w:firstLine="482"/>
        <w:rPr>
          <w:rFonts w:hint="default" w:ascii="宋体" w:hAnsi="宋体" w:eastAsia="宋体" w:cs="宋体"/>
          <w:color w:val="auto"/>
          <w:highlight w:val="none"/>
          <w:lang w:val="en-US" w:eastAsia="zh-CN"/>
        </w:rPr>
      </w:pPr>
      <w:r>
        <w:rPr>
          <w:rFonts w:hint="eastAsia" w:ascii="宋体" w:hAnsi="宋体" w:cs="宋体"/>
          <w:color w:val="auto"/>
          <w:highlight w:val="none"/>
        </w:rPr>
        <w:t>联系方式：</w:t>
      </w:r>
      <w:r>
        <w:rPr>
          <w:rFonts w:hint="eastAsia" w:ascii="宋体" w:hAnsi="宋体" w:cs="宋体"/>
          <w:color w:val="auto"/>
          <w:highlight w:val="none"/>
          <w:lang w:val="en-US" w:eastAsia="zh-CN"/>
        </w:rPr>
        <w:t>张队长</w:t>
      </w:r>
      <w:r>
        <w:rPr>
          <w:rFonts w:hint="eastAsia" w:ascii="宋体" w:hAnsi="宋体" w:cs="宋体"/>
          <w:color w:val="auto"/>
          <w:highlight w:val="none"/>
        </w:rPr>
        <w:t xml:space="preserve">   电话：</w:t>
      </w:r>
      <w:r>
        <w:rPr>
          <w:rFonts w:hint="eastAsia" w:ascii="宋体" w:hAnsi="宋体" w:cs="宋体"/>
          <w:color w:val="auto"/>
          <w:highlight w:val="none"/>
          <w:lang w:val="en-US" w:eastAsia="zh-CN"/>
        </w:rPr>
        <w:t>15380688883</w:t>
      </w:r>
    </w:p>
    <w:p w14:paraId="07B295A2">
      <w:pPr>
        <w:keepNext w:val="0"/>
        <w:keepLines w:val="0"/>
        <w:pageBreakBefore w:val="0"/>
        <w:widowControl w:val="0"/>
        <w:spacing w:line="360" w:lineRule="auto"/>
        <w:ind w:firstLine="482"/>
        <w:rPr>
          <w:rFonts w:ascii="宋体" w:hAnsi="宋体" w:cs="宋体"/>
          <w:color w:val="auto"/>
          <w:highlight w:val="none"/>
        </w:rPr>
      </w:pPr>
      <w:r>
        <w:rPr>
          <w:rFonts w:hint="eastAsia" w:ascii="宋体" w:hAnsi="宋体" w:cs="宋体"/>
          <w:color w:val="auto"/>
          <w:highlight w:val="none"/>
        </w:rPr>
        <w:t xml:space="preserve"> 2、采购代理机构信息</w:t>
      </w:r>
    </w:p>
    <w:p w14:paraId="1FB4DE94">
      <w:pPr>
        <w:keepNext w:val="0"/>
        <w:keepLines w:val="0"/>
        <w:pageBreakBefore w:val="0"/>
        <w:widowControl w:val="0"/>
        <w:spacing w:line="360" w:lineRule="auto"/>
        <w:ind w:firstLine="482"/>
        <w:rPr>
          <w:rFonts w:hint="eastAsia" w:ascii="宋体" w:hAnsi="宋体" w:eastAsia="宋体" w:cs="宋体"/>
          <w:color w:val="auto"/>
          <w:highlight w:val="none"/>
          <w:lang w:eastAsia="zh-CN"/>
        </w:rPr>
      </w:pPr>
      <w:r>
        <w:rPr>
          <w:rFonts w:hint="eastAsia" w:ascii="宋体" w:hAnsi="宋体" w:cs="宋体"/>
          <w:color w:val="auto"/>
          <w:highlight w:val="none"/>
        </w:rPr>
        <w:t>名称：</w:t>
      </w:r>
      <w:r>
        <w:rPr>
          <w:rFonts w:hint="eastAsia" w:ascii="宋体" w:hAnsi="宋体" w:cs="宋体"/>
          <w:color w:val="auto"/>
          <w:highlight w:val="none"/>
          <w:lang w:eastAsia="zh-CN"/>
        </w:rPr>
        <w:t>连云港铭康工程咨询有限公司</w:t>
      </w:r>
    </w:p>
    <w:p w14:paraId="3A4FF0FF">
      <w:pPr>
        <w:keepNext w:val="0"/>
        <w:keepLines w:val="0"/>
        <w:pageBreakBefore w:val="0"/>
        <w:widowControl w:val="0"/>
        <w:spacing w:line="360" w:lineRule="auto"/>
        <w:ind w:firstLine="482"/>
        <w:rPr>
          <w:rFonts w:hint="eastAsia" w:ascii="宋体" w:hAnsi="宋体" w:eastAsia="宋体" w:cs="宋体"/>
          <w:color w:val="auto"/>
          <w:highlight w:val="none"/>
          <w:lang w:eastAsia="zh-CN"/>
        </w:rPr>
      </w:pPr>
      <w:r>
        <w:rPr>
          <w:rFonts w:hint="eastAsia" w:ascii="宋体" w:hAnsi="宋体" w:cs="宋体"/>
          <w:color w:val="auto"/>
          <w:highlight w:val="none"/>
        </w:rPr>
        <w:t>地址：</w:t>
      </w:r>
      <w:r>
        <w:rPr>
          <w:rFonts w:hint="eastAsia" w:ascii="宋体" w:hAnsi="宋体" w:cs="宋体"/>
          <w:color w:val="auto"/>
          <w:highlight w:val="none"/>
          <w:lang w:eastAsia="zh-CN"/>
        </w:rPr>
        <w:t>连云港市海州区南极北路40号</w:t>
      </w:r>
      <w:r>
        <w:rPr>
          <w:rFonts w:hint="eastAsia" w:ascii="宋体" w:hAnsi="宋体" w:cs="宋体"/>
          <w:color w:val="auto"/>
          <w:highlight w:val="none"/>
          <w:shd w:val="clear" w:color="auto" w:fill="FFFFFF"/>
          <w:lang w:val="en-US" w:eastAsia="zh-CN"/>
        </w:rPr>
        <w:t xml:space="preserve"> </w:t>
      </w:r>
    </w:p>
    <w:p w14:paraId="2E820E16">
      <w:pPr>
        <w:keepNext w:val="0"/>
        <w:keepLines w:val="0"/>
        <w:pageBreakBefore w:val="0"/>
        <w:widowControl w:val="0"/>
        <w:spacing w:line="360" w:lineRule="auto"/>
        <w:ind w:firstLine="482"/>
        <w:rPr>
          <w:rFonts w:hint="eastAsia" w:ascii="宋体" w:hAnsi="宋体" w:eastAsia="宋体" w:cs="宋体"/>
          <w:color w:val="auto"/>
          <w:highlight w:val="none"/>
          <w:lang w:eastAsia="zh-CN"/>
        </w:rPr>
      </w:pPr>
      <w:r>
        <w:rPr>
          <w:rFonts w:hint="eastAsia" w:ascii="宋体" w:hAnsi="宋体" w:cs="宋体"/>
          <w:color w:val="auto"/>
          <w:highlight w:val="none"/>
        </w:rPr>
        <w:t>联系方式：</w:t>
      </w:r>
      <w:bookmarkStart w:id="21" w:name="_Toc28359098"/>
      <w:bookmarkStart w:id="22" w:name="_Toc35393639"/>
      <w:bookmarkStart w:id="23" w:name="_Toc28359021"/>
      <w:bookmarkStart w:id="24" w:name="_Toc35393808"/>
      <w:r>
        <w:rPr>
          <w:rFonts w:hint="eastAsia" w:ascii="宋体" w:hAnsi="宋体" w:cs="宋体"/>
          <w:color w:val="auto"/>
          <w:highlight w:val="none"/>
          <w:lang w:eastAsia="zh-CN"/>
        </w:rPr>
        <w:t>彭工</w:t>
      </w:r>
      <w:r>
        <w:rPr>
          <w:rFonts w:hint="eastAsia" w:ascii="宋体" w:hAnsi="宋体" w:cs="宋体"/>
          <w:color w:val="auto"/>
          <w:highlight w:val="none"/>
        </w:rPr>
        <w:t xml:space="preserve">    电话：</w:t>
      </w:r>
      <w:bookmarkEnd w:id="21"/>
      <w:bookmarkEnd w:id="22"/>
      <w:bookmarkEnd w:id="23"/>
      <w:bookmarkEnd w:id="24"/>
      <w:r>
        <w:rPr>
          <w:rFonts w:hint="eastAsia" w:ascii="宋体" w:hAnsi="宋体" w:cs="宋体"/>
          <w:color w:val="auto"/>
          <w:highlight w:val="none"/>
          <w:lang w:val="en-US" w:eastAsia="zh-CN"/>
        </w:rPr>
        <w:t xml:space="preserve">18605187026 </w:t>
      </w:r>
    </w:p>
    <w:p w14:paraId="79A43B5A">
      <w:pPr>
        <w:keepNext w:val="0"/>
        <w:keepLines w:val="0"/>
        <w:pageBreakBefore w:val="0"/>
        <w:widowControl w:val="0"/>
        <w:spacing w:line="360" w:lineRule="auto"/>
        <w:ind w:firstLine="482"/>
        <w:rPr>
          <w:rFonts w:hint="eastAsia" w:ascii="宋体" w:hAnsi="宋体" w:cs="宋体"/>
          <w:color w:val="auto"/>
          <w:highlight w:val="none"/>
        </w:rPr>
      </w:pPr>
      <w:r>
        <w:rPr>
          <w:rFonts w:hint="eastAsia" w:ascii="宋体" w:hAnsi="宋体" w:cs="宋体"/>
          <w:color w:val="auto"/>
          <w:highlight w:val="none"/>
        </w:rPr>
        <w:t>3、采购项目联系方式</w:t>
      </w:r>
    </w:p>
    <w:p w14:paraId="4A85A8A3">
      <w:pPr>
        <w:keepNext w:val="0"/>
        <w:keepLines w:val="0"/>
        <w:pageBreakBefore w:val="0"/>
        <w:widowControl w:val="0"/>
        <w:spacing w:line="360" w:lineRule="auto"/>
        <w:ind w:firstLine="482"/>
        <w:rPr>
          <w:rFonts w:hint="eastAsia" w:ascii="宋体" w:hAnsi="宋体" w:eastAsia="宋体" w:cs="宋体"/>
          <w:color w:val="auto"/>
          <w:highlight w:val="none"/>
          <w:lang w:eastAsia="zh-CN"/>
        </w:rPr>
      </w:pPr>
      <w:r>
        <w:rPr>
          <w:rFonts w:hint="eastAsia" w:ascii="宋体" w:hAnsi="宋体" w:cs="宋体"/>
          <w:color w:val="auto"/>
          <w:highlight w:val="none"/>
        </w:rPr>
        <w:t>联系方式：</w:t>
      </w:r>
      <w:r>
        <w:rPr>
          <w:rFonts w:hint="eastAsia" w:ascii="宋体" w:hAnsi="宋体" w:cs="宋体"/>
          <w:color w:val="auto"/>
          <w:highlight w:val="none"/>
          <w:lang w:val="en-US" w:eastAsia="zh-CN"/>
        </w:rPr>
        <w:t xml:space="preserve">张队长   </w:t>
      </w:r>
      <w:r>
        <w:rPr>
          <w:rFonts w:hint="eastAsia" w:ascii="宋体" w:hAnsi="宋体" w:cs="宋体"/>
          <w:color w:val="auto"/>
          <w:highlight w:val="none"/>
        </w:rPr>
        <w:t xml:space="preserve"> 电话：</w:t>
      </w:r>
      <w:r>
        <w:rPr>
          <w:rFonts w:hint="eastAsia" w:ascii="宋体" w:hAnsi="宋体" w:cs="宋体"/>
          <w:color w:val="auto"/>
          <w:highlight w:val="none"/>
          <w:lang w:val="en-US" w:eastAsia="zh-CN"/>
        </w:rPr>
        <w:t>15380688883</w:t>
      </w:r>
    </w:p>
    <w:p w14:paraId="1C4A0825">
      <w:pPr>
        <w:spacing w:line="336" w:lineRule="auto"/>
        <w:ind w:firstLine="482"/>
        <w:rPr>
          <w:rFonts w:ascii="宋体" w:hAnsi="宋体" w:cs="宋体"/>
          <w:b/>
          <w:bCs/>
          <w:color w:val="auto"/>
          <w:highlight w:val="none"/>
        </w:rPr>
      </w:pPr>
      <w:r>
        <w:rPr>
          <w:rFonts w:hint="eastAsia" w:ascii="宋体" w:hAnsi="宋体" w:cs="宋体"/>
          <w:b/>
          <w:bCs/>
          <w:color w:val="auto"/>
          <w:highlight w:val="none"/>
        </w:rPr>
        <w:t>八、其他</w:t>
      </w:r>
    </w:p>
    <w:p w14:paraId="568CCCF9">
      <w:pPr>
        <w:spacing w:line="336" w:lineRule="auto"/>
        <w:ind w:firstLine="480"/>
        <w:jc w:val="left"/>
        <w:rPr>
          <w:rFonts w:ascii="宋体" w:hAnsi="宋体" w:cs="宋体"/>
          <w:color w:val="auto"/>
          <w:highlight w:val="none"/>
        </w:rPr>
      </w:pPr>
      <w:r>
        <w:rPr>
          <w:rFonts w:hint="eastAsia" w:ascii="宋体" w:hAnsi="宋体" w:cs="宋体"/>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color w:val="auto"/>
          <w:highlight w:val="none"/>
        </w:rPr>
        <w:t>http://www.ccgp-jiangsu.gov.cn/jiangsu/zlxz/ee/ee3a4bc5a3454aa2b0d9312230633ce9.html。</w:t>
      </w:r>
    </w:p>
    <w:p w14:paraId="4FB09F19">
      <w:pPr>
        <w:spacing w:line="336" w:lineRule="auto"/>
        <w:ind w:firstLine="480"/>
        <w:jc w:val="left"/>
        <w:rPr>
          <w:rFonts w:ascii="宋体" w:hAnsi="宋体" w:cs="宋体"/>
          <w:color w:val="auto"/>
          <w:highlight w:val="none"/>
        </w:rPr>
      </w:pPr>
      <w:r>
        <w:rPr>
          <w:rFonts w:hint="eastAsia" w:ascii="宋体" w:hAnsi="宋体" w:cs="宋体"/>
          <w:color w:val="auto"/>
          <w:highlight w:val="none"/>
        </w:rPr>
        <w:t>领取CA和办理电子签章请至请至连云港市海州区凌州东路9号连云港市政务服务中心3号楼-公共资源交易中心一楼办理办理，具体联系方式见《苏采云系统供应商操作手册》（以下简称《操作手册》），进行注册并按《操作手册》要求制作、上传电子响应文件。</w:t>
      </w:r>
    </w:p>
    <w:p w14:paraId="6EEDF35F">
      <w:pPr>
        <w:spacing w:line="336" w:lineRule="auto"/>
        <w:ind w:firstLine="480"/>
        <w:rPr>
          <w:rFonts w:ascii="宋体" w:hAnsi="宋体" w:cs="宋体"/>
          <w:b/>
          <w:bCs/>
          <w:color w:val="auto"/>
          <w:highlight w:val="none"/>
        </w:rPr>
      </w:pPr>
      <w:r>
        <w:rPr>
          <w:rFonts w:hint="eastAsia" w:ascii="宋体" w:hAnsi="宋体" w:cs="宋体"/>
          <w:color w:val="auto"/>
          <w:highlight w:val="none"/>
        </w:rPr>
        <w:t>2、有关本次磋商的事项若存在变动或修改，敬请及时关注“江苏政府采购网”发布的更正公告。若因供应商自身原因未及时关注本项目有关修改、补充或变更信息，导致响应文件编制或提交失误，由此造成的一切损失由供应商自行承担。</w:t>
      </w:r>
    </w:p>
    <w:p w14:paraId="663331A5">
      <w:pPr>
        <w:ind w:firstLine="0"/>
        <w:jc w:val="center"/>
        <w:outlineLvl w:val="0"/>
        <w:rPr>
          <w:rFonts w:ascii="宋体" w:hAnsi="宋体" w:cs="宋体"/>
          <w:b/>
          <w:bCs/>
          <w:color w:val="auto"/>
          <w:sz w:val="44"/>
          <w:szCs w:val="44"/>
          <w:highlight w:val="none"/>
        </w:rPr>
      </w:pPr>
    </w:p>
    <w:p w14:paraId="4FF1D1E7">
      <w:pPr>
        <w:ind w:firstLine="0"/>
        <w:jc w:val="center"/>
        <w:outlineLvl w:val="0"/>
        <w:rPr>
          <w:rFonts w:ascii="宋体" w:hAnsi="宋体" w:cs="宋体"/>
          <w:b/>
          <w:bCs/>
          <w:color w:val="auto"/>
          <w:sz w:val="44"/>
          <w:szCs w:val="44"/>
          <w:highlight w:val="none"/>
        </w:rPr>
      </w:pPr>
    </w:p>
    <w:p w14:paraId="1088A9E3">
      <w:pPr>
        <w:ind w:firstLine="0"/>
        <w:jc w:val="center"/>
        <w:outlineLvl w:val="0"/>
        <w:rPr>
          <w:rFonts w:ascii="宋体" w:hAnsi="宋体" w:cs="宋体"/>
          <w:b/>
          <w:bCs/>
          <w:color w:val="auto"/>
          <w:sz w:val="44"/>
          <w:szCs w:val="44"/>
          <w:highlight w:val="none"/>
        </w:rPr>
      </w:pPr>
    </w:p>
    <w:p w14:paraId="4E4BDE9B">
      <w:pPr>
        <w:ind w:firstLine="0"/>
        <w:outlineLvl w:val="0"/>
        <w:rPr>
          <w:rFonts w:ascii="宋体" w:hAnsi="宋体" w:cs="宋体"/>
          <w:b/>
          <w:bCs/>
          <w:color w:val="auto"/>
          <w:sz w:val="44"/>
          <w:szCs w:val="44"/>
          <w:highlight w:val="none"/>
        </w:rPr>
      </w:pPr>
    </w:p>
    <w:p w14:paraId="41C8CB98">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p>
    <w:p w14:paraId="62C59274">
      <w:pPr>
        <w:ind w:firstLine="0"/>
        <w:jc w:val="center"/>
        <w:outlineLvl w:val="0"/>
        <w:rPr>
          <w:rFonts w:ascii="宋体" w:hAnsi="宋体" w:cs="宋体"/>
          <w:b/>
          <w:bCs/>
          <w:color w:val="auto"/>
          <w:sz w:val="44"/>
          <w:szCs w:val="44"/>
          <w:highlight w:val="none"/>
        </w:rPr>
      </w:pPr>
      <w:r>
        <w:rPr>
          <w:rFonts w:hint="eastAsia" w:ascii="宋体" w:hAnsi="宋体" w:cs="宋体"/>
          <w:b/>
          <w:bCs/>
          <w:color w:val="auto"/>
          <w:sz w:val="44"/>
          <w:szCs w:val="44"/>
          <w:highlight w:val="none"/>
        </w:rPr>
        <w:t>第二章 供应商须知</w:t>
      </w:r>
      <w:bookmarkEnd w:id="11"/>
      <w:bookmarkEnd w:id="12"/>
    </w:p>
    <w:p w14:paraId="612FA31E">
      <w:pPr>
        <w:jc w:val="center"/>
        <w:rPr>
          <w:rFonts w:ascii="宋体" w:hAnsi="宋体" w:cs="宋体"/>
          <w:b/>
          <w:bCs/>
          <w:color w:val="auto"/>
          <w:highlight w:val="none"/>
        </w:rPr>
      </w:pPr>
      <w:r>
        <w:rPr>
          <w:rFonts w:hint="eastAsia" w:ascii="宋体" w:hAnsi="宋体" w:cs="宋体"/>
          <w:b/>
          <w:bCs/>
          <w:color w:val="auto"/>
          <w:highlight w:val="none"/>
        </w:rPr>
        <w:t>一、总  则</w:t>
      </w:r>
    </w:p>
    <w:p w14:paraId="7215A078">
      <w:pPr>
        <w:ind w:firstLine="480"/>
        <w:rPr>
          <w:rFonts w:ascii="宋体" w:hAnsi="宋体" w:cs="宋体"/>
          <w:b/>
          <w:bCs/>
          <w:color w:val="auto"/>
          <w:highlight w:val="none"/>
        </w:rPr>
      </w:pPr>
      <w:r>
        <w:rPr>
          <w:rFonts w:hint="eastAsia" w:ascii="宋体" w:hAnsi="宋体" w:cs="宋体"/>
          <w:b/>
          <w:bCs/>
          <w:color w:val="auto"/>
          <w:highlight w:val="none"/>
        </w:rPr>
        <w:t>1.适用范围</w:t>
      </w:r>
    </w:p>
    <w:p w14:paraId="6D9EB23E">
      <w:pPr>
        <w:ind w:firstLine="480"/>
        <w:rPr>
          <w:rFonts w:ascii="宋体" w:hAnsi="宋体" w:cs="宋体"/>
          <w:bCs/>
          <w:color w:val="auto"/>
          <w:highlight w:val="none"/>
        </w:rPr>
      </w:pPr>
      <w:r>
        <w:rPr>
          <w:rFonts w:hint="eastAsia" w:ascii="宋体" w:hAnsi="宋体" w:cs="宋体"/>
          <w:bCs/>
          <w:color w:val="auto"/>
          <w:highlight w:val="none"/>
        </w:rPr>
        <w:t>1.1 本竞争性磋商文件(以下简称磋商文件)仅适用此项目。</w:t>
      </w:r>
    </w:p>
    <w:p w14:paraId="16B0524A">
      <w:pPr>
        <w:ind w:firstLine="480"/>
        <w:rPr>
          <w:rFonts w:ascii="宋体" w:hAnsi="宋体" w:cs="宋体"/>
          <w:bCs/>
          <w:color w:val="auto"/>
          <w:highlight w:val="none"/>
        </w:rPr>
      </w:pPr>
      <w:r>
        <w:rPr>
          <w:rFonts w:hint="eastAsia" w:ascii="宋体" w:hAnsi="宋体"/>
          <w:color w:val="auto"/>
          <w:szCs w:val="21"/>
          <w:highlight w:val="none"/>
        </w:rPr>
        <w:t>1.2 本项目采购采用电子化方式，采购文件、响应文件、开启、评审和成交结果发布全程电子化。</w:t>
      </w:r>
    </w:p>
    <w:p w14:paraId="6523BE74">
      <w:pPr>
        <w:ind w:firstLine="480"/>
        <w:rPr>
          <w:rFonts w:ascii="宋体" w:hAnsi="宋体" w:cs="宋体"/>
          <w:b/>
          <w:bCs/>
          <w:color w:val="auto"/>
          <w:highlight w:val="none"/>
        </w:rPr>
      </w:pPr>
      <w:r>
        <w:rPr>
          <w:rFonts w:hint="eastAsia" w:ascii="宋体" w:hAnsi="宋体" w:cs="宋体"/>
          <w:b/>
          <w:bCs/>
          <w:color w:val="auto"/>
          <w:highlight w:val="none"/>
        </w:rPr>
        <w:t>2.项目采购方式</w:t>
      </w:r>
    </w:p>
    <w:p w14:paraId="2BCED75B">
      <w:pPr>
        <w:ind w:firstLine="480"/>
        <w:rPr>
          <w:rFonts w:ascii="宋体" w:hAnsi="宋体" w:cs="宋体"/>
          <w:bCs/>
          <w:color w:val="auto"/>
          <w:highlight w:val="none"/>
        </w:rPr>
      </w:pPr>
      <w:r>
        <w:rPr>
          <w:rFonts w:hint="eastAsia" w:ascii="宋体" w:hAnsi="宋体" w:cs="宋体"/>
          <w:bCs/>
          <w:color w:val="auto"/>
          <w:highlight w:val="none"/>
        </w:rPr>
        <w:t>本次采购采取竞争性磋商的方式。</w:t>
      </w:r>
    </w:p>
    <w:p w14:paraId="45F6D81E">
      <w:pPr>
        <w:ind w:firstLine="480"/>
        <w:rPr>
          <w:rFonts w:ascii="宋体" w:hAnsi="宋体" w:cs="宋体"/>
          <w:b/>
          <w:bCs/>
          <w:color w:val="auto"/>
          <w:highlight w:val="none"/>
        </w:rPr>
      </w:pPr>
      <w:r>
        <w:rPr>
          <w:rFonts w:hint="eastAsia" w:ascii="宋体" w:hAnsi="宋体" w:cs="宋体"/>
          <w:b/>
          <w:bCs/>
          <w:color w:val="auto"/>
          <w:highlight w:val="none"/>
        </w:rPr>
        <w:t>3.合格的供应商</w:t>
      </w:r>
    </w:p>
    <w:p w14:paraId="12DA0968">
      <w:pPr>
        <w:ind w:firstLine="480"/>
        <w:rPr>
          <w:rFonts w:ascii="宋体" w:hAnsi="宋体" w:cs="宋体"/>
          <w:bCs/>
          <w:color w:val="auto"/>
          <w:highlight w:val="none"/>
        </w:rPr>
      </w:pPr>
      <w:r>
        <w:rPr>
          <w:rFonts w:hint="eastAsia" w:ascii="宋体" w:hAnsi="宋体" w:cs="宋体"/>
          <w:bCs/>
          <w:color w:val="auto"/>
          <w:highlight w:val="none"/>
        </w:rPr>
        <w:t>3.1 满足磋商公告中供应商资格要求的规定。</w:t>
      </w:r>
    </w:p>
    <w:p w14:paraId="3F3F72AC">
      <w:pPr>
        <w:ind w:firstLine="480"/>
        <w:rPr>
          <w:rFonts w:ascii="宋体" w:hAnsi="宋体" w:cs="宋体"/>
          <w:bCs/>
          <w:color w:val="auto"/>
          <w:highlight w:val="none"/>
        </w:rPr>
      </w:pPr>
      <w:r>
        <w:rPr>
          <w:rFonts w:hint="eastAsia" w:ascii="宋体" w:hAnsi="宋体" w:cs="宋体"/>
          <w:bCs/>
          <w:color w:val="auto"/>
          <w:highlight w:val="none"/>
        </w:rPr>
        <w:t>3.2 满足本磋商文件实质性要求和条件的规定。</w:t>
      </w:r>
    </w:p>
    <w:p w14:paraId="544A8761">
      <w:pPr>
        <w:ind w:firstLine="480"/>
        <w:rPr>
          <w:rFonts w:ascii="宋体" w:hAnsi="宋体" w:cs="宋体"/>
          <w:b/>
          <w:bCs/>
          <w:color w:val="auto"/>
          <w:highlight w:val="none"/>
        </w:rPr>
      </w:pPr>
      <w:r>
        <w:rPr>
          <w:rFonts w:hint="eastAsia" w:ascii="宋体" w:hAnsi="宋体" w:cs="宋体"/>
          <w:b/>
          <w:bCs/>
          <w:color w:val="auto"/>
          <w:highlight w:val="none"/>
        </w:rPr>
        <w:t>4.参加磋商费用</w:t>
      </w:r>
    </w:p>
    <w:p w14:paraId="59D28443">
      <w:pPr>
        <w:ind w:firstLine="480"/>
        <w:rPr>
          <w:rFonts w:ascii="宋体" w:hAnsi="宋体" w:cs="宋体"/>
          <w:bCs/>
          <w:color w:val="auto"/>
          <w:highlight w:val="none"/>
        </w:rPr>
      </w:pPr>
      <w:r>
        <w:rPr>
          <w:rFonts w:hint="eastAsia" w:ascii="宋体" w:hAnsi="宋体" w:cs="宋体"/>
          <w:bCs/>
          <w:color w:val="auto"/>
          <w:highlight w:val="none"/>
        </w:rPr>
        <w:t>4.1 供应商应自行承担所有与参加本次磋商有关的费用。不论最终的成交结果如何，</w:t>
      </w:r>
      <w:r>
        <w:rPr>
          <w:rFonts w:hint="eastAsia" w:ascii="宋体" w:hAnsi="宋体" w:cs="宋体"/>
          <w:bCs/>
          <w:color w:val="auto"/>
          <w:highlight w:val="none"/>
          <w:lang w:eastAsia="zh-CN"/>
        </w:rPr>
        <w:t>连云港铭康工程咨询有限公司</w:t>
      </w:r>
      <w:r>
        <w:rPr>
          <w:rFonts w:hint="eastAsia" w:ascii="宋体" w:hAnsi="宋体" w:cs="宋体"/>
          <w:bCs/>
          <w:color w:val="auto"/>
          <w:highlight w:val="none"/>
        </w:rPr>
        <w:t>(以下简称采购代理机构)在任何情况下均无义务和责任承担这些费用。</w:t>
      </w:r>
    </w:p>
    <w:p w14:paraId="6D09CA94">
      <w:pPr>
        <w:ind w:firstLine="480"/>
        <w:rPr>
          <w:rFonts w:ascii="宋体" w:hAnsi="宋体" w:cs="宋体"/>
          <w:bCs/>
          <w:color w:val="auto"/>
          <w:highlight w:val="none"/>
        </w:rPr>
      </w:pPr>
      <w:r>
        <w:rPr>
          <w:rFonts w:hint="eastAsia" w:ascii="宋体" w:hAnsi="宋体" w:cs="宋体"/>
          <w:bCs/>
          <w:color w:val="auto"/>
          <w:highlight w:val="none"/>
        </w:rPr>
        <w:t>4.2 本次磋商不收取磋商文件工本费。</w:t>
      </w:r>
    </w:p>
    <w:p w14:paraId="33C23129">
      <w:pPr>
        <w:ind w:firstLine="480"/>
        <w:rPr>
          <w:rFonts w:ascii="宋体" w:hAnsi="宋体" w:cs="宋体"/>
          <w:bCs/>
          <w:color w:val="auto"/>
          <w:highlight w:val="none"/>
        </w:rPr>
      </w:pPr>
      <w:r>
        <w:rPr>
          <w:rFonts w:hint="eastAsia" w:ascii="宋体" w:hAnsi="宋体" w:cs="宋体"/>
          <w:bCs/>
          <w:color w:val="auto"/>
          <w:highlight w:val="none"/>
        </w:rPr>
        <w:t>4.3 代理服务费按招标代理费苏招协【2022】002号文关于印发《江苏省招标代理服务收费的指导意见》的通知规定的收费标准收取。</w:t>
      </w:r>
    </w:p>
    <w:p w14:paraId="696024F7">
      <w:pPr>
        <w:ind w:firstLine="480"/>
        <w:rPr>
          <w:rFonts w:ascii="宋体" w:hAnsi="宋体" w:cs="宋体"/>
          <w:bCs/>
          <w:color w:val="auto"/>
          <w:highlight w:val="none"/>
        </w:rPr>
      </w:pPr>
      <w:r>
        <w:rPr>
          <w:rFonts w:hint="eastAsia" w:ascii="宋体" w:hAnsi="宋体" w:cs="宋体"/>
          <w:bCs/>
          <w:color w:val="auto"/>
          <w:highlight w:val="none"/>
        </w:rPr>
        <w:t>注：上述费用成交供应商领取成交通知书时须一次性缴纳，供应商将此费用等综合考虑在报价中，采购人不再另行支付。</w:t>
      </w:r>
    </w:p>
    <w:p w14:paraId="60132D06">
      <w:pPr>
        <w:ind w:firstLine="480"/>
        <w:rPr>
          <w:rFonts w:ascii="宋体" w:hAnsi="宋体" w:cs="宋体"/>
          <w:b/>
          <w:bCs/>
          <w:color w:val="auto"/>
          <w:highlight w:val="none"/>
        </w:rPr>
      </w:pPr>
      <w:r>
        <w:rPr>
          <w:rFonts w:hint="eastAsia" w:ascii="宋体" w:hAnsi="宋体" w:cs="宋体"/>
          <w:b/>
          <w:bCs/>
          <w:color w:val="auto"/>
          <w:highlight w:val="none"/>
        </w:rPr>
        <w:t>5.磋商文件的约束力</w:t>
      </w:r>
    </w:p>
    <w:p w14:paraId="7C4A6501">
      <w:pPr>
        <w:ind w:firstLine="480"/>
        <w:rPr>
          <w:rFonts w:ascii="宋体" w:hAnsi="宋体" w:cs="宋体"/>
          <w:bCs/>
          <w:color w:val="auto"/>
          <w:highlight w:val="none"/>
        </w:rPr>
      </w:pPr>
      <w:r>
        <w:rPr>
          <w:rFonts w:hint="eastAsia" w:ascii="宋体" w:hAnsi="宋体" w:cs="宋体"/>
          <w:bCs/>
          <w:color w:val="auto"/>
          <w:highlight w:val="none"/>
        </w:rPr>
        <w:t>供应商一旦获取了本磋商文件并决定参加磋商，即被认为接受了本磋商文件的规定和约束，并且视为已经知道或应当知道自身权益是否受到了损害。</w:t>
      </w:r>
    </w:p>
    <w:p w14:paraId="07B3A3EB">
      <w:pPr>
        <w:jc w:val="center"/>
        <w:rPr>
          <w:rFonts w:ascii="宋体" w:hAnsi="宋体" w:cs="宋体"/>
          <w:b/>
          <w:bCs/>
          <w:color w:val="auto"/>
          <w:highlight w:val="none"/>
        </w:rPr>
      </w:pPr>
      <w:r>
        <w:rPr>
          <w:rFonts w:hint="eastAsia" w:ascii="宋体" w:hAnsi="宋体" w:cs="宋体"/>
          <w:b/>
          <w:bCs/>
          <w:color w:val="auto"/>
          <w:highlight w:val="none"/>
        </w:rPr>
        <w:t>二、磋商文件</w:t>
      </w:r>
    </w:p>
    <w:p w14:paraId="7DDFA677">
      <w:pPr>
        <w:ind w:firstLine="480"/>
        <w:jc w:val="left"/>
        <w:rPr>
          <w:rFonts w:ascii="宋体" w:hAnsi="宋体" w:cs="宋体"/>
          <w:b/>
          <w:color w:val="auto"/>
          <w:szCs w:val="21"/>
          <w:highlight w:val="none"/>
        </w:rPr>
      </w:pPr>
      <w:r>
        <w:rPr>
          <w:rFonts w:hint="eastAsia" w:ascii="宋体" w:hAnsi="宋体" w:cs="宋体"/>
          <w:b/>
          <w:color w:val="auto"/>
          <w:szCs w:val="21"/>
          <w:highlight w:val="none"/>
        </w:rPr>
        <w:t>1.磋商文件构成</w:t>
      </w:r>
    </w:p>
    <w:p w14:paraId="3E401981">
      <w:pPr>
        <w:ind w:firstLine="480"/>
        <w:jc w:val="left"/>
        <w:rPr>
          <w:rFonts w:ascii="宋体" w:hAnsi="宋体" w:cs="宋体"/>
          <w:color w:val="auto"/>
          <w:szCs w:val="21"/>
          <w:highlight w:val="none"/>
        </w:rPr>
      </w:pPr>
      <w:r>
        <w:rPr>
          <w:rFonts w:hint="eastAsia" w:ascii="宋体" w:hAnsi="宋体" w:cs="宋体"/>
          <w:color w:val="auto"/>
          <w:szCs w:val="21"/>
          <w:highlight w:val="none"/>
        </w:rPr>
        <w:t>1.1 磋商文件由以下部分组成：</w:t>
      </w:r>
    </w:p>
    <w:p w14:paraId="4C93A7E7">
      <w:pPr>
        <w:ind w:firstLine="480"/>
        <w:jc w:val="left"/>
        <w:rPr>
          <w:rFonts w:ascii="宋体" w:hAnsi="宋体" w:cs="宋体"/>
          <w:color w:val="auto"/>
          <w:szCs w:val="21"/>
          <w:highlight w:val="none"/>
        </w:rPr>
      </w:pPr>
      <w:r>
        <w:rPr>
          <w:rFonts w:hint="eastAsia" w:ascii="宋体" w:hAnsi="宋体" w:cs="宋体"/>
          <w:color w:val="auto"/>
          <w:szCs w:val="21"/>
          <w:highlight w:val="none"/>
        </w:rPr>
        <w:t>（1）竞争性磋商公告</w:t>
      </w:r>
    </w:p>
    <w:p w14:paraId="00366286">
      <w:pPr>
        <w:ind w:firstLine="480"/>
        <w:jc w:val="left"/>
        <w:rPr>
          <w:rFonts w:ascii="宋体" w:hAnsi="宋体" w:cs="宋体"/>
          <w:color w:val="auto"/>
          <w:szCs w:val="21"/>
          <w:highlight w:val="none"/>
        </w:rPr>
      </w:pPr>
      <w:r>
        <w:rPr>
          <w:rFonts w:hint="eastAsia" w:ascii="宋体" w:hAnsi="宋体" w:cs="宋体"/>
          <w:color w:val="auto"/>
          <w:szCs w:val="21"/>
          <w:highlight w:val="none"/>
        </w:rPr>
        <w:t>（2）磋商须知</w:t>
      </w:r>
    </w:p>
    <w:p w14:paraId="559CF8B5">
      <w:pPr>
        <w:ind w:firstLine="480"/>
        <w:jc w:val="left"/>
        <w:rPr>
          <w:rFonts w:ascii="宋体" w:hAnsi="宋体" w:cs="宋体"/>
          <w:color w:val="auto"/>
          <w:szCs w:val="21"/>
          <w:highlight w:val="none"/>
        </w:rPr>
      </w:pPr>
      <w:r>
        <w:rPr>
          <w:rFonts w:hint="eastAsia" w:ascii="宋体" w:hAnsi="宋体" w:cs="宋体"/>
          <w:color w:val="auto"/>
          <w:szCs w:val="21"/>
          <w:highlight w:val="none"/>
        </w:rPr>
        <w:t>（3）政府采购合同格式</w:t>
      </w:r>
    </w:p>
    <w:p w14:paraId="31BB5235">
      <w:pPr>
        <w:ind w:firstLine="480"/>
        <w:jc w:val="left"/>
        <w:rPr>
          <w:rFonts w:ascii="宋体" w:hAnsi="宋体" w:cs="宋体"/>
          <w:color w:val="auto"/>
          <w:szCs w:val="21"/>
          <w:highlight w:val="none"/>
        </w:rPr>
      </w:pPr>
      <w:r>
        <w:rPr>
          <w:rFonts w:hint="eastAsia" w:ascii="宋体" w:hAnsi="宋体" w:cs="宋体"/>
          <w:color w:val="auto"/>
          <w:szCs w:val="21"/>
          <w:highlight w:val="none"/>
        </w:rPr>
        <w:t>（4）项目需求</w:t>
      </w:r>
    </w:p>
    <w:p w14:paraId="490DD75A">
      <w:pPr>
        <w:ind w:firstLine="480"/>
        <w:jc w:val="left"/>
        <w:rPr>
          <w:rFonts w:ascii="宋体" w:hAnsi="宋体" w:cs="宋体"/>
          <w:color w:val="auto"/>
          <w:szCs w:val="21"/>
          <w:highlight w:val="none"/>
        </w:rPr>
      </w:pPr>
      <w:r>
        <w:rPr>
          <w:rFonts w:hint="eastAsia" w:ascii="宋体" w:hAnsi="宋体" w:cs="宋体"/>
          <w:color w:val="auto"/>
          <w:szCs w:val="21"/>
          <w:highlight w:val="none"/>
        </w:rPr>
        <w:t>（5）评审方法和评审标准</w:t>
      </w:r>
    </w:p>
    <w:p w14:paraId="08F61207">
      <w:pPr>
        <w:ind w:firstLine="480"/>
        <w:jc w:val="left"/>
        <w:rPr>
          <w:rFonts w:ascii="宋体" w:hAnsi="宋体" w:cs="宋体"/>
          <w:color w:val="auto"/>
          <w:szCs w:val="21"/>
          <w:highlight w:val="none"/>
        </w:rPr>
      </w:pPr>
      <w:r>
        <w:rPr>
          <w:rFonts w:hint="eastAsia" w:ascii="宋体" w:hAnsi="宋体" w:cs="宋体"/>
          <w:color w:val="auto"/>
          <w:szCs w:val="21"/>
          <w:highlight w:val="none"/>
        </w:rPr>
        <w:t>（6）竞争性磋商响应文件格式</w:t>
      </w:r>
    </w:p>
    <w:p w14:paraId="689AE39B">
      <w:pPr>
        <w:ind w:firstLine="480"/>
        <w:jc w:val="left"/>
        <w:rPr>
          <w:rFonts w:ascii="宋体" w:hAnsi="宋体" w:cs="宋体"/>
          <w:color w:val="auto"/>
          <w:szCs w:val="21"/>
          <w:highlight w:val="none"/>
        </w:rPr>
      </w:pPr>
      <w:r>
        <w:rPr>
          <w:rFonts w:hint="eastAsia" w:ascii="宋体" w:hAnsi="宋体" w:cs="宋体"/>
          <w:color w:val="auto"/>
          <w:szCs w:val="21"/>
          <w:highlight w:val="none"/>
        </w:rPr>
        <w:t>请仔细检查磋商文件是否齐全，如有缺漏请立即与采购人或采购代理机构联系解决。</w:t>
      </w:r>
    </w:p>
    <w:p w14:paraId="39B79403">
      <w:pPr>
        <w:ind w:firstLine="480"/>
        <w:jc w:val="left"/>
        <w:rPr>
          <w:rFonts w:ascii="宋体" w:hAnsi="宋体" w:cs="宋体"/>
          <w:color w:val="auto"/>
          <w:szCs w:val="21"/>
          <w:highlight w:val="none"/>
        </w:rPr>
      </w:pPr>
      <w:r>
        <w:rPr>
          <w:rFonts w:hint="eastAsia" w:ascii="宋体" w:hAnsi="宋体" w:cs="宋体"/>
          <w:color w:val="auto"/>
          <w:szCs w:val="21"/>
          <w:highlight w:val="none"/>
        </w:rPr>
        <w:t>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22F84F1">
      <w:pPr>
        <w:ind w:firstLine="480"/>
        <w:jc w:val="left"/>
        <w:rPr>
          <w:rFonts w:ascii="宋体" w:hAnsi="宋体" w:cs="宋体"/>
          <w:b/>
          <w:color w:val="auto"/>
          <w:szCs w:val="21"/>
          <w:highlight w:val="none"/>
        </w:rPr>
      </w:pPr>
      <w:r>
        <w:rPr>
          <w:rFonts w:hint="eastAsia" w:ascii="宋体" w:hAnsi="宋体" w:cs="宋体"/>
          <w:b/>
          <w:color w:val="auto"/>
          <w:szCs w:val="21"/>
          <w:highlight w:val="none"/>
        </w:rPr>
        <w:t>2.磋商文件的澄清</w:t>
      </w:r>
    </w:p>
    <w:p w14:paraId="1F451756">
      <w:pPr>
        <w:ind w:firstLine="480"/>
        <w:jc w:val="left"/>
        <w:rPr>
          <w:rFonts w:ascii="宋体" w:hAnsi="宋体" w:cs="宋体"/>
          <w:color w:val="auto"/>
          <w:szCs w:val="21"/>
          <w:highlight w:val="none"/>
        </w:rPr>
      </w:pPr>
      <w:r>
        <w:rPr>
          <w:rFonts w:hint="eastAsia" w:ascii="宋体" w:hAnsi="宋体" w:cs="宋体"/>
          <w:color w:val="auto"/>
          <w:szCs w:val="21"/>
          <w:highlight w:val="none"/>
        </w:rPr>
        <w:t>2.1 任何要求对磋商文件进行询问的供应商，均应在提交首次响应文件截止时间五日前按“竞争性磋商采购邀请”中的通讯地址，向采购人或代理机构提出。</w:t>
      </w:r>
    </w:p>
    <w:p w14:paraId="32F2E1DE">
      <w:pPr>
        <w:ind w:firstLine="480"/>
        <w:jc w:val="left"/>
        <w:rPr>
          <w:rFonts w:ascii="宋体" w:hAnsi="宋体" w:cs="宋体"/>
          <w:color w:val="auto"/>
          <w:szCs w:val="21"/>
          <w:highlight w:val="none"/>
        </w:rPr>
      </w:pPr>
      <w:r>
        <w:rPr>
          <w:rFonts w:hint="eastAsia" w:ascii="宋体" w:hAnsi="宋体" w:cs="宋体"/>
          <w:color w:val="auto"/>
          <w:szCs w:val="21"/>
          <w:highlight w:val="none"/>
        </w:rPr>
        <w:t>2.2 采购代理机构或采购人可以视采购项目的具体情况，组织供应商进行现场考察或召开磋商前答疑会，但不单独或分别组织只有一个供应商参加的现场考察和答疑会。</w:t>
      </w:r>
    </w:p>
    <w:p w14:paraId="6492503C">
      <w:pPr>
        <w:ind w:firstLine="480"/>
        <w:jc w:val="left"/>
        <w:rPr>
          <w:rFonts w:ascii="宋体" w:hAnsi="宋体" w:cs="宋体"/>
          <w:b/>
          <w:color w:val="auto"/>
          <w:szCs w:val="21"/>
          <w:highlight w:val="none"/>
        </w:rPr>
      </w:pPr>
      <w:r>
        <w:rPr>
          <w:rFonts w:hint="eastAsia" w:ascii="宋体" w:hAnsi="宋体" w:cs="宋体"/>
          <w:b/>
          <w:color w:val="auto"/>
          <w:szCs w:val="21"/>
          <w:highlight w:val="none"/>
        </w:rPr>
        <w:t>3.磋商文件的修改</w:t>
      </w:r>
    </w:p>
    <w:p w14:paraId="76122396">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3.1 </w:t>
      </w:r>
      <w:r>
        <w:rPr>
          <w:rFonts w:hint="eastAsia" w:ascii="宋体" w:hAnsi="宋体" w:cs="宋体"/>
          <w:color w:val="auto"/>
          <w:highlight w:val="none"/>
        </w:rPr>
        <w:t>在响应文件提交截止时间</w:t>
      </w:r>
      <w:r>
        <w:rPr>
          <w:rFonts w:ascii="宋体" w:hAnsi="宋体" w:cs="宋体"/>
          <w:color w:val="auto"/>
          <w:highlight w:val="none"/>
        </w:rPr>
        <w:t>前</w:t>
      </w:r>
      <w:r>
        <w:rPr>
          <w:rFonts w:hint="eastAsia" w:ascii="宋体" w:hAnsi="宋体" w:cs="宋体"/>
          <w:color w:val="auto"/>
          <w:highlight w:val="none"/>
        </w:rPr>
        <w:t>，代理机构可以对磋商文件进行澄清和修改，澄清或者修改的内容作为磋商文件的组成部分。澄清或者修改的内容可能影响响应文件编制的，代理机构将在提交首次响应文件截止时间至少5日前，在“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cs="宋体"/>
          <w:b/>
          <w:bCs/>
          <w:color w:val="auto"/>
          <w:highlight w:val="none"/>
        </w:rPr>
        <w:t>江苏政府采购网</w:t>
      </w:r>
      <w:r>
        <w:rPr>
          <w:rFonts w:hint="eastAsia" w:ascii="宋体" w:hAnsi="宋体" w:cs="宋体"/>
          <w:color w:val="auto"/>
          <w:highlight w:val="none"/>
        </w:rPr>
        <w:t>”上发布书面更正公告形式通知所有获取磋商文件的供应商，更正公告内容将作为磋商文件的组成部分，并对供应商具有约束力。不足5日的，代理机构将顺延提交首次响应文件截止时间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color w:val="auto"/>
          <w:szCs w:val="21"/>
          <w:highlight w:val="none"/>
        </w:rPr>
        <w:t>。</w:t>
      </w:r>
    </w:p>
    <w:p w14:paraId="15116405">
      <w:pPr>
        <w:ind w:firstLine="480"/>
        <w:jc w:val="left"/>
        <w:rPr>
          <w:rFonts w:ascii="宋体" w:hAnsi="宋体" w:cs="宋体"/>
          <w:color w:val="auto"/>
          <w:szCs w:val="21"/>
          <w:highlight w:val="none"/>
        </w:rPr>
      </w:pPr>
      <w:r>
        <w:rPr>
          <w:rFonts w:hint="eastAsia" w:ascii="宋体" w:hAnsi="宋体" w:cs="宋体"/>
          <w:color w:val="auto"/>
          <w:szCs w:val="21"/>
          <w:highlight w:val="none"/>
        </w:rPr>
        <w:t>3.2 供应商对采购人提供的采购文件所做出的推论、解释和结论，采购人概不负责。供应商由于对采购文件的任何推论和误解以及采购人对有关问题的口头解释所造成的后果，均由各潜在供应商自负。</w:t>
      </w:r>
    </w:p>
    <w:p w14:paraId="178C3A49">
      <w:pPr>
        <w:jc w:val="center"/>
        <w:rPr>
          <w:rFonts w:ascii="宋体" w:hAnsi="宋体" w:cs="宋体"/>
          <w:b/>
          <w:bCs/>
          <w:color w:val="auto"/>
          <w:highlight w:val="none"/>
        </w:rPr>
      </w:pPr>
      <w:r>
        <w:rPr>
          <w:rFonts w:hint="eastAsia" w:ascii="宋体" w:hAnsi="宋体" w:cs="宋体"/>
          <w:b/>
          <w:bCs/>
          <w:color w:val="auto"/>
          <w:highlight w:val="none"/>
        </w:rPr>
        <w:t>三、响应文件的编制</w:t>
      </w:r>
    </w:p>
    <w:p w14:paraId="1D8B0C09">
      <w:pPr>
        <w:tabs>
          <w:tab w:val="left" w:pos="900"/>
        </w:tabs>
        <w:ind w:firstLine="420"/>
        <w:jc w:val="left"/>
        <w:rPr>
          <w:rFonts w:ascii="宋体" w:hAnsi="宋体"/>
          <w:b/>
          <w:color w:val="auto"/>
          <w:szCs w:val="21"/>
          <w:highlight w:val="none"/>
        </w:rPr>
      </w:pPr>
      <w:bookmarkStart w:id="25" w:name="_Toc14577353"/>
      <w:bookmarkStart w:id="26" w:name="_Toc462564074"/>
      <w:bookmarkStart w:id="27" w:name="_Toc61149555"/>
      <w:bookmarkStart w:id="28" w:name="_Toc513029215"/>
      <w:bookmarkStart w:id="29" w:name="_Toc513029214"/>
      <w:bookmarkStart w:id="30" w:name="_Toc462564073"/>
      <w:bookmarkStart w:id="31" w:name="_Toc14577352"/>
      <w:bookmarkStart w:id="32" w:name="_Toc61149554"/>
      <w:r>
        <w:rPr>
          <w:rFonts w:hint="eastAsia" w:ascii="宋体" w:hAnsi="宋体"/>
          <w:b/>
          <w:color w:val="auto"/>
          <w:szCs w:val="21"/>
          <w:highlight w:val="none"/>
        </w:rPr>
        <w:t>1、响应文件</w:t>
      </w:r>
      <w:bookmarkEnd w:id="25"/>
      <w:bookmarkEnd w:id="26"/>
      <w:bookmarkEnd w:id="27"/>
      <w:bookmarkEnd w:id="28"/>
      <w:r>
        <w:rPr>
          <w:rFonts w:hint="eastAsia" w:ascii="宋体" w:hAnsi="宋体"/>
          <w:b/>
          <w:color w:val="auto"/>
          <w:szCs w:val="21"/>
          <w:highlight w:val="none"/>
        </w:rPr>
        <w:t>编制要求</w:t>
      </w:r>
      <w:bookmarkEnd w:id="29"/>
      <w:bookmarkEnd w:id="30"/>
      <w:bookmarkEnd w:id="31"/>
      <w:bookmarkEnd w:id="32"/>
    </w:p>
    <w:p w14:paraId="522F1031">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1.1 磋商供应商提交的响应文件以及磋商供应商与代理机构及采购人就有关磋商的所有来往函电均应使用简体中文。磋商文件中既有中文也有外文的，以中文意义为准。</w:t>
      </w:r>
    </w:p>
    <w:p w14:paraId="50AE2C48">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1.2 除技术性能另有规定外，响应文件所使用的度量衡单位，均须采用国家法定计量单位。</w:t>
      </w:r>
    </w:p>
    <w:p w14:paraId="698A853C">
      <w:pPr>
        <w:tabs>
          <w:tab w:val="left" w:pos="900"/>
        </w:tabs>
        <w:ind w:firstLine="420"/>
        <w:jc w:val="left"/>
        <w:rPr>
          <w:rFonts w:ascii="宋体" w:hAnsi="宋体"/>
          <w:b/>
          <w:color w:val="auto"/>
          <w:szCs w:val="21"/>
          <w:highlight w:val="none"/>
        </w:rPr>
      </w:pPr>
      <w:bookmarkStart w:id="33" w:name="_Hlt26670357"/>
      <w:bookmarkEnd w:id="33"/>
      <w:bookmarkStart w:id="34" w:name="_Hlt26954836"/>
      <w:bookmarkEnd w:id="34"/>
      <w:bookmarkStart w:id="35" w:name="_Toc61149558"/>
      <w:bookmarkStart w:id="36" w:name="_Toc14577357"/>
      <w:bookmarkStart w:id="37" w:name="_Toc513029219"/>
      <w:bookmarkStart w:id="38" w:name="_Toc513029217"/>
      <w:bookmarkStart w:id="39" w:name="_Toc14577355"/>
      <w:bookmarkStart w:id="40" w:name="_Toc61149557"/>
      <w:r>
        <w:rPr>
          <w:rFonts w:hint="eastAsia" w:ascii="宋体" w:hAnsi="宋体"/>
          <w:b/>
          <w:color w:val="auto"/>
          <w:szCs w:val="21"/>
          <w:highlight w:val="none"/>
        </w:rPr>
        <w:t>2、参加磋商供应商资格的文件</w:t>
      </w:r>
      <w:bookmarkEnd w:id="35"/>
      <w:bookmarkEnd w:id="36"/>
      <w:bookmarkEnd w:id="37"/>
      <w:r>
        <w:rPr>
          <w:rFonts w:hint="eastAsia" w:ascii="宋体" w:hAnsi="宋体"/>
          <w:b/>
          <w:color w:val="auto"/>
          <w:szCs w:val="21"/>
          <w:highlight w:val="none"/>
        </w:rPr>
        <w:t>证明</w:t>
      </w:r>
    </w:p>
    <w:p w14:paraId="37E7B5B3">
      <w:pPr>
        <w:tabs>
          <w:tab w:val="left" w:pos="900"/>
        </w:tabs>
        <w:ind w:firstLine="420"/>
        <w:jc w:val="left"/>
        <w:rPr>
          <w:rFonts w:ascii="宋体" w:hAnsi="宋体"/>
          <w:color w:val="auto"/>
          <w:szCs w:val="21"/>
          <w:highlight w:val="none"/>
        </w:rPr>
      </w:pPr>
      <w:bookmarkStart w:id="41" w:name="_Hlt26668999"/>
      <w:bookmarkEnd w:id="41"/>
      <w:r>
        <w:rPr>
          <w:rFonts w:hint="eastAsia" w:ascii="宋体" w:hAnsi="宋体"/>
          <w:color w:val="auto"/>
          <w:szCs w:val="21"/>
          <w:highlight w:val="none"/>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6FBCBAE1">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2.2 磋商供应商除必须具有履行合同所需提供的设备以及服务的能力外，还必须具备相应的财务、技术方面的能力。</w:t>
      </w:r>
    </w:p>
    <w:p w14:paraId="03D34248">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2.3 磋商供应商委托代理时还应提交法定代表人授权委托书，请按第六章“竞争性磋商响应文件格式”填写并附法定代表人与委托代理人身份证明电子件。</w:t>
      </w:r>
    </w:p>
    <w:p w14:paraId="21AE30DE">
      <w:pPr>
        <w:tabs>
          <w:tab w:val="left" w:pos="900"/>
        </w:tabs>
        <w:ind w:firstLine="420"/>
        <w:jc w:val="left"/>
        <w:rPr>
          <w:rFonts w:ascii="宋体" w:hAnsi="宋体"/>
          <w:b/>
          <w:color w:val="auto"/>
          <w:szCs w:val="21"/>
          <w:highlight w:val="none"/>
        </w:rPr>
      </w:pPr>
      <w:r>
        <w:rPr>
          <w:rFonts w:hint="eastAsia" w:ascii="宋体" w:hAnsi="宋体"/>
          <w:b/>
          <w:color w:val="auto"/>
          <w:szCs w:val="21"/>
          <w:highlight w:val="none"/>
        </w:rPr>
        <w:t>3、首次磋商报价</w:t>
      </w:r>
      <w:bookmarkEnd w:id="38"/>
      <w:bookmarkEnd w:id="39"/>
      <w:bookmarkStart w:id="42" w:name="_Hlt26670373"/>
      <w:bookmarkEnd w:id="42"/>
      <w:r>
        <w:rPr>
          <w:rFonts w:hint="eastAsia" w:ascii="宋体" w:hAnsi="宋体"/>
          <w:b/>
          <w:color w:val="auto"/>
          <w:szCs w:val="21"/>
          <w:highlight w:val="none"/>
        </w:rPr>
        <w:t>表</w:t>
      </w:r>
      <w:bookmarkEnd w:id="40"/>
    </w:p>
    <w:p w14:paraId="332B6D6C">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3.1 磋商供应商应按照磋商文件规定格式填报“首次磋商报价表”（开标一览表）与“首次磋商报价明细表”（报价明细表）。每项产品或服务只允许有一个报价，任何有选择的报价将不予接受，磋商文件中另有规定的按规定执行。</w:t>
      </w:r>
    </w:p>
    <w:p w14:paraId="39205416">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3.2 标的物</w:t>
      </w:r>
    </w:p>
    <w:p w14:paraId="19DE2C74">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详见第四章“项目需求”。</w:t>
      </w:r>
    </w:p>
    <w:p w14:paraId="3B1CD03E">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3.3 有关费用处理</w:t>
      </w:r>
    </w:p>
    <w:p w14:paraId="530E260F">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本次采购磋商供应商的总报价应包括为完成本项目发生的所有费用，本磋商文件中另有规定的除外。</w:t>
      </w:r>
    </w:p>
    <w:p w14:paraId="4E008ADA">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3.4 其它费用处理</w:t>
      </w:r>
    </w:p>
    <w:p w14:paraId="39AF9BEA">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磋商文件未列明，而磋商供应商认为必须的费用也须列入报价。</w:t>
      </w:r>
    </w:p>
    <w:p w14:paraId="218694E6">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3.5 报价采用的货币</w:t>
      </w:r>
    </w:p>
    <w:p w14:paraId="7C684516">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响应文件中的单价和总价，无特殊规定的采用人民币报价，以元为单位标注。磋商文件中另有规定的按规定执行。</w:t>
      </w:r>
    </w:p>
    <w:p w14:paraId="4A9EB0CF">
      <w:pPr>
        <w:tabs>
          <w:tab w:val="left" w:pos="900"/>
        </w:tabs>
        <w:ind w:firstLine="420"/>
        <w:jc w:val="left"/>
        <w:rPr>
          <w:rFonts w:ascii="宋体" w:hAnsi="宋体"/>
          <w:color w:val="auto"/>
          <w:szCs w:val="21"/>
          <w:highlight w:val="none"/>
        </w:rPr>
      </w:pPr>
      <w:bookmarkStart w:id="43" w:name="_Hlt26954846"/>
      <w:bookmarkEnd w:id="43"/>
      <w:bookmarkStart w:id="44" w:name="_Hlt26670486"/>
      <w:bookmarkEnd w:id="44"/>
      <w:bookmarkStart w:id="45" w:name="_Hlt26668983"/>
      <w:bookmarkEnd w:id="45"/>
      <w:bookmarkStart w:id="46" w:name="_Hlt26954731"/>
      <w:bookmarkEnd w:id="46"/>
      <w:bookmarkStart w:id="47" w:name="_Hlt26670425"/>
      <w:bookmarkEnd w:id="47"/>
      <w:bookmarkStart w:id="48" w:name="_Hlt26954844"/>
      <w:bookmarkEnd w:id="48"/>
      <w:bookmarkStart w:id="49" w:name="_Hlt26670482"/>
      <w:bookmarkEnd w:id="49"/>
      <w:bookmarkStart w:id="50" w:name="_Hlt26954842"/>
      <w:bookmarkEnd w:id="50"/>
      <w:bookmarkStart w:id="51" w:name="_Hlt26670403"/>
      <w:bookmarkEnd w:id="51"/>
      <w:bookmarkStart w:id="52" w:name="_Hlt26954848"/>
      <w:bookmarkEnd w:id="52"/>
      <w:bookmarkStart w:id="53" w:name="_Toc61149559"/>
      <w:bookmarkStart w:id="54" w:name="_Toc14577359"/>
      <w:bookmarkStart w:id="55" w:name="_Toc513029221"/>
      <w:r>
        <w:rPr>
          <w:rFonts w:hint="eastAsia" w:ascii="宋体" w:hAnsi="宋体"/>
          <w:color w:val="auto"/>
          <w:szCs w:val="21"/>
          <w:highlight w:val="none"/>
        </w:rPr>
        <w:t>4、项目需求响应方案</w:t>
      </w:r>
    </w:p>
    <w:p w14:paraId="7F210860">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4.1 提供为完成本项目的总体实施方案。</w:t>
      </w:r>
    </w:p>
    <w:p w14:paraId="72E26110">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4.2 对磋商文件中项目需求的技术与商务条款要求逐项作出应答，并提供依据或说明。</w:t>
      </w:r>
    </w:p>
    <w:p w14:paraId="0399C489">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4.3 磋商供应商认为需要的其他技术文件或说明。</w:t>
      </w:r>
    </w:p>
    <w:p w14:paraId="0349FEFD">
      <w:pPr>
        <w:tabs>
          <w:tab w:val="left" w:pos="900"/>
        </w:tabs>
        <w:ind w:firstLine="420"/>
        <w:jc w:val="left"/>
        <w:rPr>
          <w:rFonts w:ascii="宋体" w:hAnsi="宋体"/>
          <w:b/>
          <w:color w:val="auto"/>
          <w:szCs w:val="21"/>
          <w:highlight w:val="none"/>
        </w:rPr>
      </w:pPr>
      <w:r>
        <w:rPr>
          <w:rFonts w:hint="eastAsia" w:ascii="宋体" w:hAnsi="宋体"/>
          <w:b/>
          <w:color w:val="auto"/>
          <w:szCs w:val="21"/>
          <w:highlight w:val="none"/>
        </w:rPr>
        <w:t>5、磋商保证金</w:t>
      </w:r>
      <w:bookmarkEnd w:id="53"/>
      <w:bookmarkEnd w:id="54"/>
      <w:bookmarkEnd w:id="55"/>
    </w:p>
    <w:p w14:paraId="6D255168">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5.1 本项目不收取磋商保证金。</w:t>
      </w:r>
    </w:p>
    <w:p w14:paraId="2AE1D74E">
      <w:pPr>
        <w:tabs>
          <w:tab w:val="left" w:pos="900"/>
        </w:tabs>
        <w:ind w:firstLine="420"/>
        <w:jc w:val="left"/>
        <w:rPr>
          <w:rFonts w:ascii="宋体" w:hAnsi="宋体"/>
          <w:b/>
          <w:color w:val="auto"/>
          <w:szCs w:val="21"/>
          <w:highlight w:val="none"/>
        </w:rPr>
      </w:pPr>
      <w:r>
        <w:rPr>
          <w:rFonts w:hint="eastAsia" w:ascii="宋体" w:hAnsi="宋体"/>
          <w:b/>
          <w:color w:val="auto"/>
          <w:szCs w:val="21"/>
          <w:highlight w:val="none"/>
        </w:rPr>
        <w:t>6、响应文件制作工具</w:t>
      </w:r>
    </w:p>
    <w:p w14:paraId="175A63FC">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6.1 磋商供应商必须使用苏采云（网址：</w:t>
      </w:r>
      <w:r>
        <w:rPr>
          <w:color w:val="auto"/>
          <w:highlight w:val="none"/>
        </w:rPr>
        <w:fldChar w:fldCharType="begin"/>
      </w:r>
      <w:r>
        <w:rPr>
          <w:color w:val="auto"/>
          <w:highlight w:val="none"/>
        </w:rPr>
        <w:instrText xml:space="preserve"> HYPERLINK "http://jszfcg.jsczt.cn/）可接受的响应文件制作工具编制响应文件，系统操作流程详见连云港市政府采购交易平台-下载中心-供应商操作手册%5b网%5d，并及时关注版本更新。" </w:instrText>
      </w:r>
      <w:r>
        <w:rPr>
          <w:color w:val="auto"/>
          <w:highlight w:val="none"/>
        </w:rPr>
        <w:fldChar w:fldCharType="separate"/>
      </w:r>
      <w:r>
        <w:rPr>
          <w:rFonts w:hint="eastAsia" w:ascii="宋体" w:hAnsi="宋体"/>
          <w:color w:val="auto"/>
          <w:szCs w:val="21"/>
          <w:highlight w:val="none"/>
        </w:rPr>
        <w:t>http://jszfcg.jsczt.cn/）可接受的响应文件制作工具编制响应文件，系统操作流程详见连云港市政府采购交易平台-下载中心-供应商操作手册[网]，并及时关注版本更新。</w:t>
      </w:r>
      <w:r>
        <w:rPr>
          <w:rFonts w:hint="eastAsia" w:ascii="宋体" w:hAnsi="宋体"/>
          <w:color w:val="auto"/>
          <w:szCs w:val="21"/>
          <w:highlight w:val="none"/>
        </w:rPr>
        <w:fldChar w:fldCharType="end"/>
      </w:r>
    </w:p>
    <w:p w14:paraId="7AB2BA6E">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如标书制作工具中格式和内容与“江苏政府采购网”发布的磋商文件不一致，请以“江苏政府采购网”发布的磋商文件为准。</w:t>
      </w:r>
    </w:p>
    <w:p w14:paraId="60DC9557">
      <w:pPr>
        <w:tabs>
          <w:tab w:val="left" w:pos="900"/>
        </w:tabs>
        <w:ind w:firstLine="420"/>
        <w:jc w:val="left"/>
        <w:rPr>
          <w:rFonts w:ascii="宋体" w:hAnsi="宋体"/>
          <w:b/>
          <w:color w:val="auto"/>
          <w:szCs w:val="21"/>
          <w:highlight w:val="none"/>
        </w:rPr>
      </w:pPr>
      <w:r>
        <w:rPr>
          <w:rFonts w:hint="eastAsia" w:ascii="宋体" w:hAnsi="宋体"/>
          <w:b/>
          <w:color w:val="auto"/>
          <w:szCs w:val="21"/>
          <w:highlight w:val="none"/>
        </w:rPr>
        <w:t>7、响应文件构成</w:t>
      </w:r>
    </w:p>
    <w:p w14:paraId="11D40323">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磋商供应商编制的响应文件应包括商务文件、技术文件、评审因素所需材料和其他材料等内容，相关文件的提交如未特别注明可提供扫描件。</w:t>
      </w:r>
    </w:p>
    <w:p w14:paraId="53BF7AB3">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7.1 响应文件格式：</w:t>
      </w:r>
    </w:p>
    <w:p w14:paraId="3A4FCC37">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填写供应商名称、供应商地址、法定代表人、委托代理人、日期等内容。</w:t>
      </w:r>
    </w:p>
    <w:p w14:paraId="0598FA30">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7.2 商务文件：（政府采购政策有关材料可选提交；委托代理时必须提交法定代表人授权委托书，其他文件必须提交，否则按无效响应处理）</w:t>
      </w:r>
    </w:p>
    <w:p w14:paraId="52A9707A">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（1）响应函：请按给定格式及要求填写。</w:t>
      </w:r>
    </w:p>
    <w:p w14:paraId="54A1F06A">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（2）开标一览表（首次磋商报价表）：请按给定格式及要求填写。</w:t>
      </w:r>
    </w:p>
    <w:p w14:paraId="09B3B688">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（3）报价明细表（首次磋商报价明细表）：请按第六章“竞争性磋商响应文件格式”提供的“磋商首次报价明细”格式及要求填写。</w:t>
      </w:r>
    </w:p>
    <w:p w14:paraId="5975DE01">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（4）政府采购政策：中小企业声明函、残疾人福利性单位声明函及省级以上监狱管理局、戒毒管理局（含新疆生产建设兵团）出具的属于监狱企业的证明文件，填报要求详见“七、政策功能”。</w:t>
      </w:r>
    </w:p>
    <w:p w14:paraId="06977A90">
      <w:pPr>
        <w:tabs>
          <w:tab w:val="left" w:pos="900"/>
        </w:tabs>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（5）资格审查材料：</w:t>
      </w:r>
    </w:p>
    <w:p w14:paraId="5ECE4D2D">
      <w:pPr>
        <w:tabs>
          <w:tab w:val="left" w:pos="900"/>
        </w:tabs>
        <w:ind w:firstLine="420"/>
        <w:jc w:val="left"/>
        <w:rPr>
          <w:rFonts w:ascii="宋体" w:hAnsi="宋体"/>
          <w:color w:val="auto"/>
          <w:szCs w:val="21"/>
          <w:highlight w:val="none"/>
        </w:rPr>
      </w:pPr>
      <w:r>
        <w:rPr>
          <w:rFonts w:hint="eastAsia" w:ascii="宋体" w:hAnsi="宋体" w:eastAsia="宋体"/>
          <w:color w:val="auto"/>
          <w:szCs w:val="21"/>
          <w:highlight w:val="none"/>
        </w:rPr>
        <w:t>供应商单位基本信息、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w:t>
      </w:r>
      <w:r>
        <w:rPr>
          <w:rFonts w:hint="eastAsia" w:ascii="宋体" w:hAnsi="宋体"/>
          <w:color w:val="auto"/>
          <w:szCs w:val="21"/>
          <w:highlight w:val="none"/>
        </w:rPr>
        <w:t>有请提供；其他资格审查材料要求，详见本磋商文件第一章“竞争性磋商采购邀请”“二、申请人的资格要求”。</w:t>
      </w:r>
    </w:p>
    <w:p w14:paraId="2A1E1E68">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（6）法定代表人授权委托书：请按给定格式及要求填写。</w:t>
      </w:r>
    </w:p>
    <w:p w14:paraId="7C74FC65">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（7）商务条款偏离表：请按给定格式及要求，并根据供应商响应承诺的商务条件与“合同条款”“项目需求”等的差异填写。</w:t>
      </w:r>
    </w:p>
    <w:p w14:paraId="26E0D0C7">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（8）服务承诺书：请按给定格式及要求填写。</w:t>
      </w:r>
    </w:p>
    <w:p w14:paraId="6574386E">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7.3 技术文件：（以下文件必须提交，否则按无效响应处理）</w:t>
      </w:r>
    </w:p>
    <w:p w14:paraId="5EB0C020">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（1）技术标：可以但不限于技术方案、磋商文件规定的其他文件等，格式自定。</w:t>
      </w:r>
    </w:p>
    <w:p w14:paraId="256E2762">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（2）项目需求响应：格式自定。</w:t>
      </w:r>
    </w:p>
    <w:p w14:paraId="54F79EC1">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7.4 评审因素所需材料：</w:t>
      </w:r>
    </w:p>
    <w:p w14:paraId="57C3A302">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如有，请按磋商文件要求提供。</w:t>
      </w:r>
    </w:p>
    <w:p w14:paraId="1D6289F9">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7.5 其他材料：</w:t>
      </w:r>
    </w:p>
    <w:p w14:paraId="206888A1">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如有，请按磋商文件要求提供。</w:t>
      </w:r>
    </w:p>
    <w:p w14:paraId="6BB64799">
      <w:pPr>
        <w:tabs>
          <w:tab w:val="left" w:pos="900"/>
        </w:tabs>
        <w:ind w:firstLine="420"/>
        <w:jc w:val="left"/>
        <w:rPr>
          <w:rFonts w:ascii="宋体" w:hAnsi="宋体"/>
          <w:b/>
          <w:color w:val="auto"/>
          <w:szCs w:val="21"/>
          <w:highlight w:val="none"/>
        </w:rPr>
      </w:pPr>
      <w:r>
        <w:rPr>
          <w:rFonts w:hint="eastAsia" w:ascii="宋体" w:hAnsi="宋体"/>
          <w:b/>
          <w:color w:val="auto"/>
          <w:szCs w:val="21"/>
          <w:highlight w:val="none"/>
        </w:rPr>
        <w:t>8、生成响应文件</w:t>
      </w:r>
    </w:p>
    <w:p w14:paraId="660E8AA1">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052B4901">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8.2 电子响应文件不得涂改、行间插字或删除，如出现上述情况应重新编制。</w:t>
      </w:r>
    </w:p>
    <w:p w14:paraId="1E789AA5">
      <w:pPr>
        <w:tabs>
          <w:tab w:val="left" w:pos="900"/>
        </w:tabs>
        <w:ind w:firstLine="420"/>
        <w:jc w:val="left"/>
        <w:rPr>
          <w:rFonts w:ascii="宋体" w:hAnsi="宋体"/>
          <w:color w:val="auto"/>
          <w:szCs w:val="21"/>
          <w:highlight w:val="none"/>
        </w:rPr>
      </w:pPr>
      <w:r>
        <w:rPr>
          <w:rFonts w:hint="eastAsia" w:ascii="宋体" w:hAnsi="宋体"/>
          <w:color w:val="auto"/>
          <w:szCs w:val="21"/>
          <w:highlight w:val="none"/>
        </w:rPr>
        <w:t xml:space="preserve">8.3 </w:t>
      </w:r>
      <w:r>
        <w:rPr>
          <w:rFonts w:hint="eastAsia" w:ascii="宋体" w:hAnsi="宋体"/>
          <w:b/>
          <w:color w:val="auto"/>
          <w:szCs w:val="21"/>
          <w:highlight w:val="none"/>
        </w:rPr>
        <w:t>响应文件制作工具生成内容相同、加密与未加密两个版本电子响应文件，加密版本用于提交上传，未加密版本用于特殊情况处理</w:t>
      </w:r>
      <w:r>
        <w:rPr>
          <w:rFonts w:hint="eastAsia" w:ascii="宋体" w:hAnsi="宋体"/>
          <w:color w:val="auto"/>
          <w:szCs w:val="21"/>
          <w:highlight w:val="none"/>
        </w:rPr>
        <w:t>。</w:t>
      </w:r>
    </w:p>
    <w:p w14:paraId="137709D7">
      <w:pPr>
        <w:rPr>
          <w:rFonts w:ascii="宋体" w:hAnsi="宋体" w:cs="宋体"/>
          <w:color w:val="auto"/>
          <w:highlight w:val="none"/>
        </w:rPr>
      </w:pPr>
    </w:p>
    <w:p w14:paraId="70788052">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五、响应文件的提交</w:t>
      </w:r>
    </w:p>
    <w:p w14:paraId="30DF601C">
      <w:pPr>
        <w:ind w:firstLine="480"/>
        <w:jc w:val="left"/>
        <w:rPr>
          <w:rFonts w:ascii="宋体" w:hAnsi="宋体" w:cs="宋体"/>
          <w:color w:val="auto"/>
          <w:highlight w:val="none"/>
        </w:rPr>
      </w:pPr>
      <w:r>
        <w:rPr>
          <w:rFonts w:hint="eastAsia" w:ascii="宋体" w:hAnsi="宋体" w:cs="宋体"/>
          <w:color w:val="auto"/>
          <w:highlight w:val="none"/>
        </w:rPr>
        <w:t>1.响应文件的提交</w:t>
      </w:r>
    </w:p>
    <w:p w14:paraId="6440E6AB">
      <w:pPr>
        <w:ind w:firstLine="480"/>
        <w:jc w:val="left"/>
        <w:rPr>
          <w:rFonts w:ascii="宋体" w:hAnsi="宋体" w:cs="宋体"/>
          <w:color w:val="auto"/>
          <w:highlight w:val="none"/>
        </w:rPr>
      </w:pPr>
      <w:r>
        <w:rPr>
          <w:rFonts w:hint="eastAsia" w:ascii="宋体" w:hAnsi="宋体" w:cs="宋体"/>
          <w:color w:val="auto"/>
          <w:highlight w:val="none"/>
        </w:rPr>
        <w:t>1.1 供应商应当按照《操作手册》规定，在提交响应文件截止时间前制作并上传电子响应文件。</w:t>
      </w:r>
    </w:p>
    <w:p w14:paraId="2A62B3FF">
      <w:pPr>
        <w:ind w:firstLine="480"/>
        <w:jc w:val="left"/>
        <w:rPr>
          <w:rFonts w:ascii="宋体" w:hAnsi="宋体" w:cs="宋体"/>
          <w:color w:val="auto"/>
          <w:highlight w:val="none"/>
        </w:rPr>
      </w:pPr>
      <w:r>
        <w:rPr>
          <w:rFonts w:hint="eastAsia" w:ascii="宋体" w:hAnsi="宋体" w:cs="宋体"/>
          <w:color w:val="auto"/>
          <w:highlight w:val="none"/>
        </w:rPr>
        <w:t>2.响应文件接收截止日期</w:t>
      </w:r>
    </w:p>
    <w:p w14:paraId="10F51F52">
      <w:pPr>
        <w:ind w:firstLine="480"/>
        <w:jc w:val="left"/>
        <w:rPr>
          <w:rFonts w:ascii="宋体" w:hAnsi="宋体" w:cs="宋体"/>
          <w:color w:val="auto"/>
          <w:highlight w:val="none"/>
        </w:rPr>
      </w:pPr>
      <w:r>
        <w:rPr>
          <w:rFonts w:hint="eastAsia" w:ascii="宋体" w:hAnsi="宋体" w:cs="宋体"/>
          <w:color w:val="auto"/>
          <w:highlight w:val="none"/>
        </w:rPr>
        <w:t>2.1 供应商上传电子响应文件的时间不得迟于磋商公告中规定的提交响应文件截止时间。</w:t>
      </w:r>
    </w:p>
    <w:p w14:paraId="3BA9F2DE">
      <w:pPr>
        <w:ind w:firstLine="480"/>
        <w:jc w:val="left"/>
        <w:rPr>
          <w:rFonts w:ascii="宋体" w:hAnsi="宋体" w:cs="宋体"/>
          <w:color w:val="auto"/>
          <w:highlight w:val="none"/>
        </w:rPr>
      </w:pPr>
      <w:r>
        <w:rPr>
          <w:rFonts w:hint="eastAsia" w:ascii="宋体" w:hAnsi="宋体" w:cs="宋体"/>
          <w:color w:val="auto"/>
          <w:highlight w:val="none"/>
        </w:rPr>
        <w:t>供应商应充分考虑到网络环境、网络带宽等风险因素，如因供应商自身原因造成的电子响应文件上传不成功由供应商自行承担全部责任。</w:t>
      </w:r>
    </w:p>
    <w:p w14:paraId="6882B810">
      <w:pPr>
        <w:ind w:firstLine="480"/>
        <w:jc w:val="left"/>
        <w:rPr>
          <w:rFonts w:ascii="宋体" w:hAnsi="宋体" w:cs="宋体"/>
          <w:color w:val="auto"/>
          <w:highlight w:val="none"/>
        </w:rPr>
      </w:pPr>
      <w:r>
        <w:rPr>
          <w:rFonts w:hint="eastAsia" w:ascii="宋体" w:hAnsi="宋体" w:cs="宋体"/>
          <w:color w:val="auto"/>
          <w:highlight w:val="none"/>
        </w:rPr>
        <w:t>2.2 采购代理机构可以按照规定，通过修改响应文件酌情延长响应文件提交截止日期，在此情况下，供应商的所有权利和义务以及供应商受制的截止日期均应以延长后新的截止日期为准。</w:t>
      </w:r>
    </w:p>
    <w:p w14:paraId="59309FA7">
      <w:pPr>
        <w:ind w:firstLine="480"/>
        <w:jc w:val="left"/>
        <w:rPr>
          <w:rFonts w:ascii="宋体" w:hAnsi="宋体" w:cs="宋体"/>
          <w:color w:val="auto"/>
          <w:highlight w:val="none"/>
        </w:rPr>
      </w:pPr>
      <w:r>
        <w:rPr>
          <w:rFonts w:hint="eastAsia" w:ascii="宋体" w:hAnsi="宋体" w:cs="宋体"/>
          <w:color w:val="auto"/>
          <w:highlight w:val="none"/>
        </w:rPr>
        <w:t>3.响应文件的密封（加密）要求：</w:t>
      </w:r>
    </w:p>
    <w:p w14:paraId="72FB6D79">
      <w:pPr>
        <w:ind w:firstLine="480"/>
        <w:jc w:val="left"/>
        <w:rPr>
          <w:rFonts w:ascii="宋体" w:hAnsi="宋体" w:cs="宋体"/>
          <w:color w:val="auto"/>
          <w:highlight w:val="none"/>
        </w:rPr>
      </w:pPr>
      <w:r>
        <w:rPr>
          <w:rFonts w:hint="eastAsia" w:ascii="宋体" w:hAnsi="宋体" w:cs="宋体"/>
          <w:color w:val="auto"/>
          <w:highlight w:val="none"/>
        </w:rPr>
        <w:t>3.1 供应商应当按照采购文件和“苏采云”系统的要求编制并加密响应文件。供应商须通过“苏采云”系统提供的政府采购客户端工具（使用“CA数字证书”）对其数据电文形式的响应文件加密。</w:t>
      </w:r>
    </w:p>
    <w:p w14:paraId="2BDB2853">
      <w:pPr>
        <w:ind w:firstLine="480"/>
        <w:jc w:val="left"/>
        <w:rPr>
          <w:rFonts w:ascii="宋体" w:hAnsi="宋体" w:cs="宋体"/>
          <w:color w:val="auto"/>
          <w:highlight w:val="none"/>
        </w:rPr>
      </w:pPr>
      <w:r>
        <w:rPr>
          <w:rFonts w:hint="eastAsia" w:ascii="宋体" w:hAnsi="宋体" w:cs="宋体"/>
          <w:color w:val="auto"/>
          <w:highlight w:val="none"/>
        </w:rPr>
        <w:t>3.2 供应商须通过“苏采云”系统提供的政府采购客户端工具（使用“CA数字证书”）加盖电子签章。</w:t>
      </w:r>
    </w:p>
    <w:p w14:paraId="5F6C0282">
      <w:pPr>
        <w:ind w:firstLine="480"/>
        <w:jc w:val="left"/>
        <w:rPr>
          <w:rFonts w:ascii="宋体" w:hAnsi="宋体" w:cs="宋体"/>
          <w:color w:val="auto"/>
          <w:highlight w:val="none"/>
        </w:rPr>
      </w:pPr>
      <w:r>
        <w:rPr>
          <w:rFonts w:hint="eastAsia" w:ascii="宋体" w:hAnsi="宋体" w:cs="宋体"/>
          <w:color w:val="auto"/>
          <w:highlight w:val="none"/>
        </w:rPr>
        <w:t>说明：供应商应在用CA数字证书以及自备的能够登录“苏采云”系统的笔记本电脑，在达到开标时间后，使用CA数字证书解密各自响应文件。</w:t>
      </w:r>
    </w:p>
    <w:p w14:paraId="3C1A8AE2">
      <w:pPr>
        <w:ind w:firstLine="480"/>
        <w:jc w:val="left"/>
        <w:rPr>
          <w:rFonts w:ascii="宋体" w:hAnsi="宋体" w:cs="宋体"/>
          <w:color w:val="auto"/>
          <w:highlight w:val="none"/>
        </w:rPr>
      </w:pPr>
      <w:r>
        <w:rPr>
          <w:rFonts w:hint="eastAsia" w:ascii="宋体" w:hAnsi="宋体" w:cs="宋体"/>
          <w:color w:val="auto"/>
          <w:highlight w:val="none"/>
        </w:rPr>
        <w:t>3.3 供应商未按规定加密的响应文件，“苏采云”系统应当拒收并提示。</w:t>
      </w:r>
    </w:p>
    <w:p w14:paraId="6D52901F">
      <w:pPr>
        <w:ind w:firstLine="480"/>
        <w:jc w:val="left"/>
        <w:rPr>
          <w:rFonts w:ascii="宋体" w:hAnsi="宋体" w:cs="宋体"/>
          <w:color w:val="auto"/>
          <w:highlight w:val="none"/>
        </w:rPr>
      </w:pPr>
      <w:r>
        <w:rPr>
          <w:rFonts w:hint="eastAsia" w:ascii="宋体" w:hAnsi="宋体" w:cs="宋体"/>
          <w:color w:val="auto"/>
          <w:highlight w:val="none"/>
        </w:rPr>
        <w:t>4.响应文件的拒收</w:t>
      </w:r>
    </w:p>
    <w:p w14:paraId="245E914B">
      <w:pPr>
        <w:ind w:firstLine="480"/>
        <w:jc w:val="left"/>
        <w:rPr>
          <w:rFonts w:ascii="宋体" w:hAnsi="宋体" w:cs="宋体"/>
          <w:color w:val="auto"/>
          <w:highlight w:val="none"/>
        </w:rPr>
      </w:pPr>
      <w:r>
        <w:rPr>
          <w:rFonts w:hint="eastAsia" w:ascii="宋体" w:hAnsi="宋体" w:cs="宋体"/>
          <w:color w:val="auto"/>
          <w:highlight w:val="none"/>
        </w:rPr>
        <w:t>4.1 采购代理机构拒绝接收在其规定的响应文件提交截止时间后上传的任何响应文件。</w:t>
      </w:r>
    </w:p>
    <w:p w14:paraId="313F899B">
      <w:pPr>
        <w:ind w:firstLine="480"/>
        <w:jc w:val="left"/>
        <w:rPr>
          <w:rFonts w:ascii="宋体" w:hAnsi="宋体" w:cs="宋体"/>
          <w:color w:val="auto"/>
          <w:highlight w:val="none"/>
        </w:rPr>
      </w:pPr>
      <w:r>
        <w:rPr>
          <w:rFonts w:hint="eastAsia" w:ascii="宋体" w:hAnsi="宋体" w:cs="宋体"/>
          <w:color w:val="auto"/>
          <w:highlight w:val="none"/>
        </w:rPr>
        <w:t>5. 响应文件的撤回和修改</w:t>
      </w:r>
    </w:p>
    <w:p w14:paraId="6E8B43A9">
      <w:pPr>
        <w:ind w:firstLine="480"/>
        <w:jc w:val="left"/>
        <w:rPr>
          <w:rFonts w:ascii="宋体" w:hAnsi="宋体" w:cs="宋体"/>
          <w:color w:val="auto"/>
          <w:highlight w:val="none"/>
        </w:rPr>
      </w:pPr>
      <w:r>
        <w:rPr>
          <w:rFonts w:hint="eastAsia" w:ascii="宋体" w:hAnsi="宋体" w:cs="宋体"/>
          <w:color w:val="auto"/>
          <w:highlight w:val="none"/>
        </w:rPr>
        <w:t>5.1 响应文件的撤回</w:t>
      </w:r>
    </w:p>
    <w:p w14:paraId="40C08ADC">
      <w:pPr>
        <w:ind w:firstLine="480"/>
        <w:jc w:val="left"/>
        <w:rPr>
          <w:rFonts w:ascii="宋体" w:hAnsi="宋体" w:cs="宋体"/>
          <w:color w:val="auto"/>
          <w:highlight w:val="none"/>
        </w:rPr>
      </w:pPr>
      <w:r>
        <w:rPr>
          <w:rFonts w:hint="eastAsia" w:ascii="宋体" w:hAnsi="宋体" w:cs="宋体"/>
          <w:color w:val="auto"/>
          <w:highlight w:val="none"/>
        </w:rPr>
        <w:t>5.1.1 电子响应文件的撤回</w:t>
      </w:r>
    </w:p>
    <w:p w14:paraId="2B683F89">
      <w:pPr>
        <w:ind w:firstLine="480"/>
        <w:jc w:val="left"/>
        <w:rPr>
          <w:rFonts w:ascii="宋体" w:hAnsi="宋体" w:cs="宋体"/>
          <w:color w:val="auto"/>
          <w:highlight w:val="none"/>
        </w:rPr>
      </w:pPr>
      <w:r>
        <w:rPr>
          <w:rFonts w:hint="eastAsia" w:ascii="宋体" w:hAnsi="宋体" w:cs="宋体"/>
          <w:color w:val="auto"/>
          <w:highlight w:val="none"/>
        </w:rPr>
        <w:t>供应商可在提交响应文件截止时间前，撤回其电子响应文件，具体操作方法见《操作手册》。</w:t>
      </w:r>
    </w:p>
    <w:p w14:paraId="77876579">
      <w:pPr>
        <w:ind w:firstLine="480"/>
        <w:jc w:val="left"/>
        <w:rPr>
          <w:rFonts w:ascii="宋体" w:hAnsi="宋体" w:cs="宋体"/>
          <w:color w:val="auto"/>
          <w:highlight w:val="none"/>
        </w:rPr>
      </w:pPr>
      <w:r>
        <w:rPr>
          <w:rFonts w:hint="eastAsia" w:ascii="宋体" w:hAnsi="宋体" w:cs="宋体"/>
          <w:color w:val="auto"/>
          <w:highlight w:val="none"/>
        </w:rPr>
        <w:t>5.1.2 供应商撤回电子响应文件，则认为其不再参与本项目磋商活动。</w:t>
      </w:r>
    </w:p>
    <w:p w14:paraId="07C39B2A">
      <w:pPr>
        <w:ind w:firstLine="480"/>
        <w:jc w:val="left"/>
        <w:rPr>
          <w:rFonts w:ascii="宋体" w:hAnsi="宋体" w:cs="宋体"/>
          <w:color w:val="auto"/>
          <w:highlight w:val="none"/>
        </w:rPr>
      </w:pPr>
      <w:r>
        <w:rPr>
          <w:rFonts w:hint="eastAsia" w:ascii="宋体" w:hAnsi="宋体" w:cs="宋体"/>
          <w:color w:val="auto"/>
          <w:highlight w:val="none"/>
        </w:rPr>
        <w:t>5.2 响应文件的修改</w:t>
      </w:r>
    </w:p>
    <w:p w14:paraId="77E3CECA">
      <w:pPr>
        <w:ind w:firstLine="480"/>
        <w:jc w:val="left"/>
        <w:rPr>
          <w:rFonts w:ascii="宋体" w:hAnsi="宋体" w:cs="宋体"/>
          <w:color w:val="auto"/>
          <w:highlight w:val="none"/>
        </w:rPr>
      </w:pPr>
      <w:r>
        <w:rPr>
          <w:rFonts w:hint="eastAsia" w:ascii="宋体" w:hAnsi="宋体" w:cs="宋体"/>
          <w:color w:val="auto"/>
          <w:highlight w:val="none"/>
        </w:rPr>
        <w:t>供应商可在响应文件提交截止时间前，对其电子响应文件进行修改。</w:t>
      </w:r>
    </w:p>
    <w:p w14:paraId="4C94AF24">
      <w:pPr>
        <w:ind w:firstLine="480"/>
        <w:jc w:val="left"/>
        <w:rPr>
          <w:rFonts w:ascii="宋体" w:hAnsi="宋体" w:cs="宋体"/>
          <w:color w:val="auto"/>
          <w:highlight w:val="none"/>
        </w:rPr>
      </w:pPr>
      <w:r>
        <w:rPr>
          <w:rFonts w:hint="eastAsia" w:ascii="宋体" w:hAnsi="宋体" w:cs="宋体"/>
          <w:color w:val="auto"/>
          <w:highlight w:val="none"/>
        </w:rPr>
        <w:t>5.3 在响应文件提交截止时间之后，供应商不得对其电子响应文件作任何修改。</w:t>
      </w:r>
    </w:p>
    <w:p w14:paraId="759B3040">
      <w:pPr>
        <w:ind w:firstLine="480"/>
        <w:jc w:val="left"/>
        <w:rPr>
          <w:rFonts w:ascii="宋体" w:hAnsi="宋体" w:cs="宋体"/>
          <w:color w:val="auto"/>
          <w:highlight w:val="none"/>
        </w:rPr>
      </w:pPr>
      <w:r>
        <w:rPr>
          <w:rFonts w:hint="eastAsia" w:ascii="宋体" w:hAnsi="宋体" w:cs="宋体"/>
          <w:color w:val="auto"/>
          <w:highlight w:val="none"/>
        </w:rPr>
        <w:t>5.4 在响应文件截止时间至响应文件中规定的磋商响应有效期满之间的这段时间内，供应商不得撤回其响应文件。</w:t>
      </w:r>
    </w:p>
    <w:p w14:paraId="2D43E07D">
      <w:pPr>
        <w:ind w:firstLine="480"/>
        <w:jc w:val="left"/>
        <w:rPr>
          <w:rFonts w:ascii="宋体" w:hAnsi="宋体" w:cs="宋体"/>
          <w:color w:val="auto"/>
          <w:highlight w:val="none"/>
        </w:rPr>
      </w:pPr>
      <w:r>
        <w:rPr>
          <w:rFonts w:hint="eastAsia" w:ascii="宋体" w:hAnsi="宋体" w:cs="宋体"/>
          <w:color w:val="auto"/>
          <w:highlight w:val="none"/>
        </w:rPr>
        <w:t>6.磋商响应有效期</w:t>
      </w:r>
    </w:p>
    <w:p w14:paraId="5672E4AC">
      <w:pPr>
        <w:ind w:firstLine="480"/>
        <w:jc w:val="left"/>
        <w:rPr>
          <w:rFonts w:ascii="宋体" w:hAnsi="宋体" w:cs="宋体"/>
          <w:color w:val="auto"/>
          <w:highlight w:val="none"/>
        </w:rPr>
      </w:pPr>
      <w:r>
        <w:rPr>
          <w:rFonts w:hint="eastAsia" w:ascii="宋体" w:hAnsi="宋体" w:cs="宋体"/>
          <w:color w:val="auto"/>
          <w:highlight w:val="none"/>
        </w:rPr>
        <w:t>6.1 磋商响应有效期为采购文件规定的响应文件提交截止时间后</w:t>
      </w:r>
      <w:r>
        <w:rPr>
          <w:rFonts w:hint="eastAsia" w:ascii="宋体" w:hAnsi="宋体" w:cs="宋体"/>
          <w:color w:val="auto"/>
          <w:highlight w:val="none"/>
          <w:u w:val="single"/>
        </w:rPr>
        <w:t>六十（60）</w:t>
      </w:r>
      <w:r>
        <w:rPr>
          <w:rFonts w:hint="eastAsia" w:ascii="宋体" w:hAnsi="宋体" w:cs="宋体"/>
          <w:color w:val="auto"/>
          <w:highlight w:val="none"/>
        </w:rPr>
        <w:t>天。磋商响应有效期比规定短的将被视为非实质性响应而予以拒绝。</w:t>
      </w:r>
    </w:p>
    <w:p w14:paraId="0F5C1AF2">
      <w:pPr>
        <w:ind w:firstLine="480"/>
        <w:jc w:val="left"/>
        <w:rPr>
          <w:rFonts w:ascii="宋体" w:hAnsi="宋体" w:cs="宋体"/>
          <w:color w:val="auto"/>
          <w:highlight w:val="none"/>
        </w:rPr>
      </w:pPr>
      <w:r>
        <w:rPr>
          <w:rFonts w:hint="eastAsia" w:ascii="宋体" w:hAnsi="宋体" w:cs="宋体"/>
          <w:color w:val="auto"/>
          <w:highlight w:val="none"/>
        </w:rPr>
        <w:t>7.磋商响应有效期的延长</w:t>
      </w:r>
    </w:p>
    <w:p w14:paraId="6341EF6C">
      <w:pPr>
        <w:ind w:firstLine="480"/>
        <w:jc w:val="left"/>
        <w:rPr>
          <w:rFonts w:ascii="宋体" w:hAnsi="宋体" w:cs="宋体"/>
          <w:color w:val="auto"/>
          <w:highlight w:val="none"/>
        </w:rPr>
      </w:pPr>
      <w:r>
        <w:rPr>
          <w:rFonts w:hint="eastAsia" w:ascii="宋体" w:hAnsi="宋体" w:cs="宋体"/>
          <w:color w:val="auto"/>
          <w:highlight w:val="none"/>
        </w:rPr>
        <w:t>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38E2B3E6">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六、磋商与评审</w:t>
      </w:r>
    </w:p>
    <w:p w14:paraId="69F7785F">
      <w:pPr>
        <w:tabs>
          <w:tab w:val="left" w:pos="900"/>
        </w:tabs>
        <w:spacing w:line="560" w:lineRule="exact"/>
        <w:ind w:firstLine="420"/>
        <w:jc w:val="left"/>
        <w:rPr>
          <w:rFonts w:ascii="宋体" w:hAnsi="宋体"/>
          <w:color w:val="auto"/>
          <w:szCs w:val="21"/>
          <w:highlight w:val="none"/>
        </w:rPr>
      </w:pPr>
      <w:bookmarkStart w:id="56" w:name="_Toc16938546"/>
      <w:bookmarkStart w:id="57" w:name="_Toc513029230"/>
      <w:bookmarkStart w:id="58" w:name="_Toc20823302"/>
      <w:r>
        <w:rPr>
          <w:rFonts w:hint="eastAsia" w:ascii="宋体" w:hAnsi="宋体"/>
          <w:color w:val="auto"/>
          <w:szCs w:val="21"/>
          <w:highlight w:val="none"/>
        </w:rPr>
        <w:t>1、</w:t>
      </w:r>
      <w:bookmarkEnd w:id="56"/>
      <w:bookmarkEnd w:id="57"/>
      <w:bookmarkEnd w:id="58"/>
      <w:r>
        <w:rPr>
          <w:rFonts w:hint="eastAsia" w:ascii="宋体" w:hAnsi="宋体"/>
          <w:color w:val="auto"/>
          <w:szCs w:val="21"/>
          <w:highlight w:val="none"/>
        </w:rPr>
        <w:t>磋商开始仪式</w:t>
      </w:r>
    </w:p>
    <w:p w14:paraId="60E40126">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1.1 代理机构将在本磋商文件第一章“竞争性磋商采购邀请”规定的时间和地点组织磋商开始仪式，仪式由代理机构主持，磋商供应商应委派人员准备</w:t>
      </w:r>
      <w:r>
        <w:rPr>
          <w:rFonts w:hint="eastAsia" w:ascii="宋体" w:hAnsi="宋体"/>
          <w:b/>
          <w:color w:val="auto"/>
          <w:szCs w:val="21"/>
          <w:highlight w:val="none"/>
        </w:rPr>
        <w:t>身份证件</w:t>
      </w:r>
      <w:r>
        <w:rPr>
          <w:rFonts w:hint="eastAsia" w:ascii="宋体" w:hAnsi="宋体"/>
          <w:color w:val="auto"/>
          <w:szCs w:val="21"/>
          <w:highlight w:val="none"/>
        </w:rPr>
        <w:t>和</w:t>
      </w:r>
      <w:r>
        <w:rPr>
          <w:rFonts w:hint="eastAsia" w:ascii="宋体" w:hAnsi="宋体"/>
          <w:b/>
          <w:color w:val="auto"/>
          <w:szCs w:val="21"/>
          <w:highlight w:val="none"/>
        </w:rPr>
        <w:t>用于生成、加密和上传电子响应文件的CA数字证书</w:t>
      </w:r>
      <w:r>
        <w:rPr>
          <w:rFonts w:hint="eastAsia" w:ascii="宋体" w:hAnsi="宋体"/>
          <w:color w:val="auto"/>
          <w:szCs w:val="21"/>
          <w:highlight w:val="none"/>
        </w:rPr>
        <w:t>参加。</w:t>
      </w:r>
    </w:p>
    <w:p w14:paraId="1D6CAEAA">
      <w:pPr>
        <w:tabs>
          <w:tab w:val="left" w:pos="900"/>
        </w:tabs>
        <w:spacing w:line="560" w:lineRule="exact"/>
        <w:ind w:firstLine="420"/>
        <w:jc w:val="left"/>
        <w:rPr>
          <w:rFonts w:ascii="宋体" w:hAnsi="宋体"/>
          <w:b/>
          <w:color w:val="auto"/>
          <w:szCs w:val="21"/>
          <w:highlight w:val="none"/>
        </w:rPr>
      </w:pPr>
      <w:bookmarkStart w:id="59" w:name="_Toc513029231"/>
      <w:bookmarkStart w:id="60" w:name="_Toc20823303"/>
      <w:bookmarkStart w:id="61" w:name="_Toc16938547"/>
      <w:r>
        <w:rPr>
          <w:rFonts w:hint="eastAsia" w:ascii="宋体" w:hAnsi="宋体"/>
          <w:b/>
          <w:bCs/>
          <w:color w:val="auto"/>
          <w:szCs w:val="21"/>
          <w:highlight w:val="none"/>
        </w:rPr>
        <w:t>本项目采用不见面交易</w:t>
      </w:r>
      <w:r>
        <w:rPr>
          <w:rFonts w:hint="eastAsia" w:ascii="宋体" w:hAnsi="宋体"/>
          <w:color w:val="auto"/>
          <w:szCs w:val="21"/>
          <w:highlight w:val="none"/>
        </w:rPr>
        <w:t>，供应商必须提前登录不见面开标大厅并在响应文件递交截止时间之前完成签到，</w:t>
      </w:r>
      <w:r>
        <w:rPr>
          <w:rFonts w:hint="eastAsia" w:ascii="宋体" w:hAnsi="宋体"/>
          <w:b/>
          <w:color w:val="auto"/>
          <w:szCs w:val="21"/>
          <w:highlight w:val="none"/>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66D5EE01">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供应商未参加的，视同认可磋商结果。</w:t>
      </w:r>
    </w:p>
    <w:p w14:paraId="210B6BE3">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1.2 供应商解密响应文件后，代理机构将当众宣读每份电子响应文件中“开标一览表”（首次磋商报价表）的各项内容以及代理机构认为有必要宣读的其他内容，宣读顺序按开标系统供应商先后顺序进行。</w:t>
      </w:r>
    </w:p>
    <w:p w14:paraId="14093304">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1.3磋商开启结束后，</w:t>
      </w:r>
      <w:r>
        <w:rPr>
          <w:rFonts w:hint="eastAsia" w:ascii="宋体" w:hAnsi="宋体"/>
          <w:b/>
          <w:bCs/>
          <w:color w:val="auto"/>
          <w:szCs w:val="21"/>
          <w:highlight w:val="none"/>
        </w:rPr>
        <w:t>供应商须及时登录苏采云（网址：http://jszfcg.jsczt.cn/），进入政府采购业务中，并在电脑前等候，切勿离开</w:t>
      </w:r>
      <w:r>
        <w:rPr>
          <w:rFonts w:hint="eastAsia" w:ascii="宋体" w:hAnsi="宋体"/>
          <w:color w:val="auto"/>
          <w:szCs w:val="21"/>
          <w:highlight w:val="none"/>
        </w:rPr>
        <w:t>。</w:t>
      </w:r>
      <w:r>
        <w:rPr>
          <w:rFonts w:hint="eastAsia" w:ascii="宋体" w:hAnsi="宋体"/>
          <w:b/>
          <w:bCs/>
          <w:color w:val="auto"/>
          <w:szCs w:val="21"/>
          <w:highlight w:val="none"/>
        </w:rPr>
        <w:t>本项目的磋商、报价等环节消息提示均通过系统发出，供应商须在截止时间前完成系统操作</w:t>
      </w:r>
      <w:r>
        <w:rPr>
          <w:rFonts w:hint="eastAsia" w:ascii="宋体" w:hAnsi="宋体"/>
          <w:color w:val="auto"/>
          <w:szCs w:val="21"/>
          <w:highlight w:val="none"/>
        </w:rPr>
        <w:t>。如果因供应商原因导致未参与磋商、报价，后果由供应商自行承担。</w:t>
      </w:r>
      <w:r>
        <w:rPr>
          <w:rFonts w:hint="eastAsia" w:ascii="宋体" w:hAnsi="宋体"/>
          <w:b/>
          <w:bCs/>
          <w:color w:val="auto"/>
          <w:szCs w:val="21"/>
          <w:highlight w:val="none"/>
        </w:rPr>
        <w:t>磋商和报价属于两个不同的环节</w:t>
      </w:r>
      <w:r>
        <w:rPr>
          <w:rFonts w:hint="eastAsia" w:ascii="宋体" w:hAnsi="宋体"/>
          <w:color w:val="auto"/>
          <w:szCs w:val="21"/>
          <w:highlight w:val="none"/>
        </w:rPr>
        <w:t>，请勿在磋商环节中填写报价。具体详细操作信息可查看供应商操作手册。</w:t>
      </w:r>
    </w:p>
    <w:p w14:paraId="3719FB91">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2、磋商小组</w:t>
      </w:r>
    </w:p>
    <w:p w14:paraId="3997F537">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2.1 磋商开始仪式结束后，代理机构将立即组织磋商小组进行评审、磋商。</w:t>
      </w:r>
    </w:p>
    <w:p w14:paraId="18429A3D">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2.2 磋商小组由评审专家和采购人代表组成，且人员构成符合政府采购相关规定。</w:t>
      </w:r>
    </w:p>
    <w:p w14:paraId="16636EB3">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3、磋商评审过程的保密</w:t>
      </w:r>
      <w:bookmarkEnd w:id="59"/>
      <w:bookmarkEnd w:id="60"/>
      <w:bookmarkEnd w:id="61"/>
      <w:r>
        <w:rPr>
          <w:rFonts w:hint="eastAsia" w:ascii="宋体" w:hAnsi="宋体"/>
          <w:color w:val="auto"/>
          <w:szCs w:val="21"/>
          <w:highlight w:val="none"/>
        </w:rPr>
        <w:t>与公正</w:t>
      </w:r>
    </w:p>
    <w:p w14:paraId="12C9949E">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3.1 磋商小组应当遵守评审工作纪律，不得泄露评审情况和评审中获悉的商业秘密。</w:t>
      </w:r>
    </w:p>
    <w:p w14:paraId="1CAF1B73">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3.2 在磋商评审过程中，磋商供应商不得以任何行为影响磋商评审过程，否则其响应文件将被作为无效响应文件。</w:t>
      </w:r>
    </w:p>
    <w:p w14:paraId="0E130CB5">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1C5E6CB">
      <w:pPr>
        <w:tabs>
          <w:tab w:val="left" w:pos="900"/>
        </w:tabs>
        <w:spacing w:line="560" w:lineRule="exact"/>
        <w:ind w:firstLine="420"/>
        <w:jc w:val="left"/>
        <w:rPr>
          <w:rFonts w:ascii="宋体" w:hAnsi="宋体"/>
          <w:color w:val="auto"/>
          <w:szCs w:val="21"/>
          <w:highlight w:val="none"/>
        </w:rPr>
      </w:pPr>
      <w:bookmarkStart w:id="62" w:name="_Toc513029232"/>
      <w:bookmarkStart w:id="63" w:name="_Toc20823304"/>
      <w:bookmarkStart w:id="64" w:name="_Toc16938548"/>
      <w:r>
        <w:rPr>
          <w:rFonts w:hint="eastAsia" w:ascii="宋体" w:hAnsi="宋体"/>
          <w:color w:val="auto"/>
          <w:szCs w:val="21"/>
          <w:highlight w:val="none"/>
        </w:rPr>
        <w:t>4、评审过程的澄清</w:t>
      </w:r>
      <w:bookmarkEnd w:id="62"/>
      <w:bookmarkEnd w:id="63"/>
      <w:bookmarkEnd w:id="64"/>
      <w:r>
        <w:rPr>
          <w:rFonts w:hint="eastAsia" w:ascii="宋体" w:hAnsi="宋体"/>
          <w:color w:val="auto"/>
          <w:szCs w:val="21"/>
          <w:highlight w:val="none"/>
        </w:rPr>
        <w:t>、说明和更正</w:t>
      </w:r>
    </w:p>
    <w:p w14:paraId="237D49AC">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1</w:t>
      </w:r>
      <w:r>
        <w:rPr>
          <w:rFonts w:hint="eastAsia" w:ascii="宋体" w:hAnsi="宋体"/>
          <w:color w:val="auto"/>
          <w:szCs w:val="21"/>
          <w:highlight w:val="none"/>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p>
    <w:p w14:paraId="587987E8">
      <w:pPr>
        <w:tabs>
          <w:tab w:val="left" w:pos="900"/>
        </w:tabs>
        <w:spacing w:line="560" w:lineRule="exact"/>
        <w:ind w:firstLine="420"/>
        <w:rPr>
          <w:rFonts w:ascii="宋体" w:hAnsi="宋体"/>
          <w:color w:val="auto"/>
          <w:szCs w:val="21"/>
          <w:highlight w:val="none"/>
        </w:rPr>
      </w:pPr>
      <w:r>
        <w:rPr>
          <w:rFonts w:hint="eastAsia" w:ascii="宋体" w:hAnsi="宋体"/>
          <w:color w:val="auto"/>
          <w:szCs w:val="21"/>
          <w:highlight w:val="none"/>
        </w:rPr>
        <w:t xml:space="preserve">4.2 </w:t>
      </w:r>
      <w:r>
        <w:rPr>
          <w:rFonts w:hint="eastAsia" w:ascii="宋体" w:hAnsi="宋体"/>
          <w:b/>
          <w:bCs/>
          <w:color w:val="auto"/>
          <w:szCs w:val="21"/>
          <w:highlight w:val="none"/>
        </w:rPr>
        <w:t>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color w:val="auto"/>
          <w:szCs w:val="21"/>
          <w:highlight w:val="none"/>
        </w:rPr>
        <w:t>。</w:t>
      </w:r>
    </w:p>
    <w:p w14:paraId="059F6D2F">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4.3 接到磋商小组澄清、说明或者更正要求的磋商供应商如未按规定作出，其风险由磋商供应商自行承担。</w:t>
      </w:r>
    </w:p>
    <w:p w14:paraId="273667D1">
      <w:pPr>
        <w:tabs>
          <w:tab w:val="left" w:pos="900"/>
        </w:tabs>
        <w:spacing w:line="560" w:lineRule="exact"/>
        <w:ind w:firstLine="420"/>
        <w:jc w:val="left"/>
        <w:rPr>
          <w:rFonts w:ascii="宋体" w:hAnsi="宋体"/>
          <w:color w:val="auto"/>
          <w:szCs w:val="21"/>
          <w:highlight w:val="none"/>
        </w:rPr>
      </w:pPr>
      <w:bookmarkStart w:id="65" w:name="_Toc20823305"/>
      <w:bookmarkStart w:id="66" w:name="_Toc16938549"/>
      <w:bookmarkStart w:id="67" w:name="_Toc513029233"/>
      <w:r>
        <w:rPr>
          <w:rFonts w:hint="eastAsia" w:ascii="宋体" w:hAnsi="宋体"/>
          <w:color w:val="auto"/>
          <w:szCs w:val="21"/>
          <w:highlight w:val="none"/>
        </w:rPr>
        <w:t>5、对响应文件的初审</w:t>
      </w:r>
      <w:bookmarkEnd w:id="65"/>
      <w:bookmarkEnd w:id="66"/>
      <w:bookmarkEnd w:id="67"/>
    </w:p>
    <w:p w14:paraId="32D43040">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5.1 响应文件初审分为资格性审查和符合性审查。</w:t>
      </w:r>
    </w:p>
    <w:p w14:paraId="070CAC26">
      <w:pPr>
        <w:tabs>
          <w:tab w:val="left" w:pos="900"/>
        </w:tabs>
        <w:spacing w:line="560" w:lineRule="exact"/>
        <w:ind w:firstLine="422"/>
        <w:jc w:val="left"/>
        <w:rPr>
          <w:rFonts w:ascii="宋体" w:hAnsi="宋体"/>
          <w:color w:val="auto"/>
          <w:szCs w:val="21"/>
          <w:highlight w:val="none"/>
        </w:rPr>
      </w:pPr>
      <w:r>
        <w:rPr>
          <w:rFonts w:hint="eastAsia" w:ascii="宋体" w:hAnsi="宋体"/>
          <w:b/>
          <w:color w:val="auto"/>
          <w:szCs w:val="21"/>
          <w:highlight w:val="none"/>
        </w:rPr>
        <w:t>资格性审查：</w:t>
      </w:r>
      <w:r>
        <w:rPr>
          <w:rFonts w:hint="eastAsia" w:ascii="宋体" w:hAnsi="宋体"/>
          <w:color w:val="auto"/>
          <w:szCs w:val="21"/>
          <w:highlight w:val="none"/>
        </w:rPr>
        <w:t>依据法律法规和磋商文件的规定，对响应文件中的资格证明文件进行审查，以确定供应商是否具备参加磋商的资格。</w:t>
      </w:r>
    </w:p>
    <w:p w14:paraId="7288B68E">
      <w:pPr>
        <w:tabs>
          <w:tab w:val="left" w:pos="900"/>
        </w:tabs>
        <w:spacing w:line="560" w:lineRule="exact"/>
        <w:ind w:firstLine="422"/>
        <w:jc w:val="left"/>
        <w:rPr>
          <w:rFonts w:ascii="宋体" w:hAnsi="宋体"/>
          <w:color w:val="auto"/>
          <w:szCs w:val="21"/>
          <w:highlight w:val="none"/>
        </w:rPr>
      </w:pPr>
      <w:r>
        <w:rPr>
          <w:rFonts w:hint="eastAsia" w:ascii="宋体" w:hAnsi="宋体"/>
          <w:b/>
          <w:color w:val="auto"/>
          <w:szCs w:val="21"/>
          <w:highlight w:val="none"/>
        </w:rPr>
        <w:t>符合性审查：</w:t>
      </w:r>
      <w:r>
        <w:rPr>
          <w:rFonts w:hint="eastAsia" w:ascii="宋体" w:hAnsi="宋体"/>
          <w:color w:val="auto"/>
          <w:szCs w:val="21"/>
          <w:highlight w:val="none"/>
        </w:rPr>
        <w:t>依据磋商文件的规定，从响应文件的有效性、完整性和对磋商文件的响应程度进行审查，以确定是否对磋商文件的实质性要求作出响应。</w:t>
      </w:r>
    </w:p>
    <w:p w14:paraId="15CC4CCE">
      <w:pPr>
        <w:spacing w:line="480" w:lineRule="exact"/>
        <w:ind w:firstLine="482"/>
        <w:jc w:val="left"/>
        <w:rPr>
          <w:rFonts w:hint="eastAsia" w:ascii="宋体" w:hAnsi="宋体" w:cs="宋体"/>
          <w:b/>
          <w:highlight w:val="none"/>
        </w:rPr>
      </w:pPr>
      <w:r>
        <w:rPr>
          <w:rFonts w:hint="eastAsia" w:ascii="宋体" w:hAnsi="宋体" w:cs="宋体"/>
          <w:b/>
          <w:highlight w:val="none"/>
        </w:rPr>
        <w:t>政府采购异常低价审查：</w:t>
      </w:r>
    </w:p>
    <w:p w14:paraId="610CF715">
      <w:pPr>
        <w:tabs>
          <w:tab w:val="left" w:pos="900"/>
        </w:tabs>
        <w:spacing w:line="480" w:lineRule="exact"/>
        <w:ind w:firstLine="482"/>
        <w:jc w:val="left"/>
        <w:rPr>
          <w:rFonts w:hint="eastAsia" w:ascii="宋体" w:hAnsi="宋体" w:cs="宋体"/>
          <w:bCs/>
          <w:highlight w:val="none"/>
        </w:rPr>
      </w:pPr>
      <w:r>
        <w:rPr>
          <w:rFonts w:hint="eastAsia" w:ascii="宋体" w:hAnsi="宋体" w:cs="宋体"/>
          <w:bCs/>
          <w:highlight w:val="none"/>
        </w:rPr>
        <w:t>评审过程中出现下列情形之一的，评审委员会应当启动异常低价投标（响应）审查程序：</w:t>
      </w:r>
    </w:p>
    <w:p w14:paraId="6D4474D7">
      <w:pPr>
        <w:tabs>
          <w:tab w:val="left" w:pos="900"/>
        </w:tabs>
        <w:spacing w:line="480" w:lineRule="exact"/>
        <w:ind w:firstLine="482"/>
        <w:jc w:val="left"/>
        <w:rPr>
          <w:rFonts w:hint="eastAsia" w:ascii="宋体" w:hAnsi="宋体" w:cs="宋体"/>
          <w:bCs/>
          <w:highlight w:val="none"/>
        </w:rPr>
      </w:pPr>
      <w:r>
        <w:rPr>
          <w:rFonts w:hint="eastAsia" w:ascii="宋体" w:hAnsi="宋体" w:cs="宋体"/>
          <w:bCs/>
          <w:highlight w:val="none"/>
        </w:rPr>
        <w:t>投标（响应）报价低于采购项目预算50%的，即投标（响应）报价&lt;采购项目预算×50%；</w:t>
      </w:r>
    </w:p>
    <w:p w14:paraId="15842FA9">
      <w:pPr>
        <w:tabs>
          <w:tab w:val="left" w:pos="900"/>
        </w:tabs>
        <w:spacing w:line="480" w:lineRule="exact"/>
        <w:ind w:firstLine="482"/>
        <w:jc w:val="left"/>
        <w:rPr>
          <w:rFonts w:hint="eastAsia" w:ascii="宋体" w:hAnsi="宋体" w:cs="宋体"/>
          <w:bCs/>
          <w:highlight w:val="none"/>
        </w:rPr>
      </w:pPr>
      <w:r>
        <w:rPr>
          <w:rFonts w:hint="eastAsia" w:ascii="宋体" w:hAnsi="宋体" w:cs="宋体"/>
          <w:bCs/>
          <w:highlight w:val="none"/>
        </w:rPr>
        <w:t>投标（响应）报价低于采购项目最高限价45%的，即投标（响应）报价&lt;采购项目最高限价×45%；</w:t>
      </w:r>
    </w:p>
    <w:p w14:paraId="799D443B">
      <w:pPr>
        <w:tabs>
          <w:tab w:val="left" w:pos="900"/>
        </w:tabs>
        <w:spacing w:line="480" w:lineRule="exact"/>
        <w:ind w:firstLine="482"/>
        <w:jc w:val="left"/>
        <w:rPr>
          <w:rFonts w:hint="eastAsia" w:ascii="宋体" w:hAnsi="宋体" w:cs="宋体"/>
          <w:bCs/>
          <w:highlight w:val="none"/>
        </w:rPr>
      </w:pPr>
      <w:r>
        <w:rPr>
          <w:rFonts w:hint="eastAsia" w:ascii="宋体" w:hAnsi="宋体" w:cs="宋体"/>
          <w:bCs/>
          <w:highlight w:val="none"/>
        </w:rPr>
        <w:t>评审委员会认定的供应商报价过低、有可能影响产品质量或者不能诚信履约的其他情形。</w:t>
      </w:r>
    </w:p>
    <w:p w14:paraId="2F60D6A1">
      <w:pPr>
        <w:tabs>
          <w:tab w:val="left" w:pos="900"/>
        </w:tabs>
        <w:spacing w:line="480" w:lineRule="exact"/>
        <w:ind w:firstLine="482"/>
        <w:jc w:val="left"/>
        <w:rPr>
          <w:rFonts w:hint="eastAsia" w:ascii="宋体" w:hAnsi="宋体" w:cs="宋体"/>
          <w:highlight w:val="none"/>
        </w:rPr>
      </w:pPr>
      <w:r>
        <w:rPr>
          <w:rFonts w:hint="eastAsia" w:ascii="宋体" w:hAnsi="宋体" w:cs="宋体"/>
          <w:bCs/>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w:t>
      </w:r>
      <w:r>
        <w:rPr>
          <w:rFonts w:hint="eastAsia" w:ascii="宋体" w:hAnsi="宋体" w:cs="宋体"/>
          <w:highlight w:val="none"/>
        </w:rPr>
        <w:t>其报价合理性的，评审委员会应当将其作为无效投标（响应）处理。审查相关情况应当在评审报告中进行记录。</w:t>
      </w:r>
    </w:p>
    <w:p w14:paraId="0224F1EE">
      <w:pPr>
        <w:tabs>
          <w:tab w:val="left" w:pos="900"/>
        </w:tabs>
        <w:spacing w:line="480" w:lineRule="exact"/>
        <w:ind w:firstLine="482"/>
        <w:jc w:val="left"/>
        <w:rPr>
          <w:rFonts w:hint="eastAsia" w:ascii="宋体" w:hAnsi="宋体" w:cs="宋体"/>
          <w:bCs/>
          <w:highlight w:val="none"/>
        </w:rPr>
      </w:pPr>
      <w:r>
        <w:rPr>
          <w:rFonts w:hint="eastAsia" w:ascii="宋体" w:hAnsi="宋体" w:cs="宋体"/>
          <w:highlight w:val="none"/>
        </w:rPr>
        <w:t>评委会将通过“苏采云”系统要求其在合理的时间内提供书面说明、证明材料。投标人可在投标（响应）文件中提供项目具体成本测算等与报价合理性相关的书面说明及相关证明材料，</w:t>
      </w:r>
      <w:r>
        <w:rPr>
          <w:rFonts w:hint="eastAsia" w:ascii="宋体" w:hAnsi="宋体" w:cs="宋体"/>
          <w:bCs/>
          <w:highlight w:val="none"/>
        </w:rPr>
        <w:t>对投标（响应）价格作出解释，便于评审。</w:t>
      </w:r>
    </w:p>
    <w:p w14:paraId="181E29D2">
      <w:pPr>
        <w:tabs>
          <w:tab w:val="left" w:pos="900"/>
        </w:tabs>
        <w:spacing w:line="480" w:lineRule="exact"/>
        <w:ind w:firstLine="482"/>
        <w:jc w:val="left"/>
        <w:rPr>
          <w:rFonts w:hint="eastAsia" w:ascii="宋体" w:hAnsi="宋体"/>
          <w:color w:val="auto"/>
          <w:szCs w:val="21"/>
          <w:highlight w:val="none"/>
        </w:rPr>
      </w:pPr>
      <w:r>
        <w:rPr>
          <w:rFonts w:hint="eastAsia" w:ascii="宋体" w:hAnsi="宋体" w:cs="宋体"/>
          <w:b/>
          <w:highlight w:val="none"/>
        </w:rPr>
        <w:t>未实质性响应磋商文件的响应文件按无效响应处理</w:t>
      </w:r>
      <w:r>
        <w:rPr>
          <w:rFonts w:hint="eastAsia" w:ascii="宋体" w:hAnsi="宋体" w:cs="宋体"/>
          <w:bCs/>
          <w:highlight w:val="none"/>
        </w:rPr>
        <w:t>，磋商小组应当告知提交响应文件的供应商。</w:t>
      </w:r>
    </w:p>
    <w:p w14:paraId="644D5AEE">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5.2 在磋商之前，磋商小组将首先审查每份响应文件是否实质性响应了磋商文件的要求。实质性响应的响应文件是与磋商文件要求的全部实质性条款、条件和规格相符</w:t>
      </w:r>
      <w:r>
        <w:rPr>
          <w:rFonts w:ascii="宋体" w:hAnsi="宋体"/>
          <w:color w:val="auto"/>
          <w:szCs w:val="21"/>
          <w:highlight w:val="none"/>
        </w:rPr>
        <w:t>且其余非实质性技术及商务条款</w:t>
      </w:r>
      <w:r>
        <w:rPr>
          <w:rFonts w:hint="eastAsia" w:ascii="宋体" w:hAnsi="宋体"/>
          <w:color w:val="auto"/>
          <w:szCs w:val="21"/>
          <w:highlight w:val="none"/>
        </w:rPr>
        <w:t>没有重大偏离或保留。</w:t>
      </w:r>
    </w:p>
    <w:p w14:paraId="1197EE47">
      <w:pPr>
        <w:tabs>
          <w:tab w:val="left" w:pos="900"/>
        </w:tabs>
        <w:spacing w:line="560" w:lineRule="exact"/>
        <w:ind w:firstLine="422"/>
        <w:jc w:val="left"/>
        <w:rPr>
          <w:rFonts w:ascii="宋体" w:hAnsi="宋体"/>
          <w:color w:val="auto"/>
          <w:szCs w:val="21"/>
          <w:highlight w:val="none"/>
        </w:rPr>
      </w:pPr>
      <w:r>
        <w:rPr>
          <w:rFonts w:ascii="宋体" w:hAnsi="宋体"/>
          <w:b/>
          <w:color w:val="auto"/>
          <w:szCs w:val="21"/>
          <w:highlight w:val="none"/>
        </w:rPr>
        <w:t>所谓重大偏离或保留，</w:t>
      </w:r>
      <w:r>
        <w:rPr>
          <w:rFonts w:ascii="宋体" w:hAnsi="宋体"/>
          <w:color w:val="auto"/>
          <w:szCs w:val="21"/>
          <w:highlight w:val="none"/>
        </w:rPr>
        <w:t>是指与</w:t>
      </w:r>
      <w:r>
        <w:rPr>
          <w:rFonts w:hint="eastAsia" w:ascii="宋体" w:hAnsi="宋体"/>
          <w:color w:val="auto"/>
          <w:szCs w:val="21"/>
          <w:highlight w:val="none"/>
        </w:rPr>
        <w:t>磋商</w:t>
      </w:r>
      <w:r>
        <w:rPr>
          <w:rFonts w:ascii="宋体" w:hAnsi="宋体"/>
          <w:color w:val="auto"/>
          <w:szCs w:val="21"/>
          <w:highlight w:val="none"/>
        </w:rPr>
        <w:t>文件规定的主要技术指标或重要的商务条款或除上述以外的多项指标要求存在负偏离，或者在实质上与</w:t>
      </w:r>
      <w:r>
        <w:rPr>
          <w:rFonts w:hint="eastAsia" w:ascii="宋体" w:hAnsi="宋体"/>
          <w:color w:val="auto"/>
          <w:szCs w:val="21"/>
          <w:highlight w:val="none"/>
        </w:rPr>
        <w:t>磋商</w:t>
      </w:r>
      <w:r>
        <w:rPr>
          <w:rFonts w:ascii="宋体" w:hAnsi="宋体"/>
          <w:color w:val="auto"/>
          <w:szCs w:val="21"/>
          <w:highlight w:val="none"/>
        </w:rPr>
        <w:t>文件不一致，而且限制了</w:t>
      </w:r>
      <w:r>
        <w:rPr>
          <w:rFonts w:hint="eastAsia" w:ascii="宋体" w:hAnsi="宋体"/>
          <w:color w:val="auto"/>
          <w:szCs w:val="21"/>
          <w:highlight w:val="none"/>
        </w:rPr>
        <w:t>合同中采购人和</w:t>
      </w:r>
      <w:r>
        <w:rPr>
          <w:rFonts w:hint="eastAsia" w:ascii="宋体" w:hAnsi="宋体"/>
          <w:color w:val="auto"/>
          <w:szCs w:val="21"/>
          <w:highlight w:val="none"/>
          <w:lang w:eastAsia="zh-CN"/>
        </w:rPr>
        <w:t>采购代理机构</w:t>
      </w:r>
      <w:r>
        <w:rPr>
          <w:rFonts w:hint="eastAsia" w:ascii="宋体" w:hAnsi="宋体"/>
          <w:color w:val="auto"/>
          <w:szCs w:val="21"/>
          <w:highlight w:val="none"/>
        </w:rPr>
        <w:t>的权利或供应商的义务</w:t>
      </w:r>
      <w:r>
        <w:rPr>
          <w:rFonts w:ascii="宋体" w:hAnsi="宋体"/>
          <w:color w:val="auto"/>
          <w:szCs w:val="21"/>
          <w:highlight w:val="none"/>
        </w:rPr>
        <w:t>，保留或给予纠正这些偏离的机会将会对其他实质性响应要求的</w:t>
      </w:r>
      <w:r>
        <w:rPr>
          <w:rFonts w:hint="eastAsia" w:ascii="宋体" w:hAnsi="宋体"/>
          <w:color w:val="auto"/>
          <w:szCs w:val="21"/>
          <w:highlight w:val="none"/>
        </w:rPr>
        <w:t>供应商</w:t>
      </w:r>
      <w:r>
        <w:rPr>
          <w:rFonts w:ascii="宋体" w:hAnsi="宋体"/>
          <w:color w:val="auto"/>
          <w:szCs w:val="21"/>
          <w:highlight w:val="none"/>
        </w:rPr>
        <w:t>的竞争地位产生不公正的影响。重大偏离的认定需经过</w:t>
      </w:r>
      <w:r>
        <w:rPr>
          <w:rFonts w:hint="eastAsia" w:ascii="宋体" w:hAnsi="宋体"/>
          <w:color w:val="auto"/>
          <w:szCs w:val="21"/>
          <w:highlight w:val="none"/>
        </w:rPr>
        <w:t>磋商小组</w:t>
      </w:r>
      <w:r>
        <w:rPr>
          <w:rFonts w:ascii="宋体" w:hAnsi="宋体"/>
          <w:color w:val="auto"/>
          <w:szCs w:val="21"/>
          <w:highlight w:val="none"/>
        </w:rPr>
        <w:t>2/3及以上成员的认定。</w:t>
      </w:r>
      <w:r>
        <w:rPr>
          <w:rFonts w:hint="eastAsia" w:ascii="宋体" w:hAnsi="宋体"/>
          <w:color w:val="auto"/>
          <w:szCs w:val="21"/>
          <w:highlight w:val="none"/>
        </w:rPr>
        <w:t>磋商小组</w:t>
      </w:r>
      <w:r>
        <w:rPr>
          <w:rFonts w:ascii="宋体" w:hAnsi="宋体"/>
          <w:color w:val="auto"/>
          <w:szCs w:val="21"/>
          <w:highlight w:val="none"/>
        </w:rPr>
        <w:t>决定</w:t>
      </w:r>
      <w:r>
        <w:rPr>
          <w:rFonts w:hint="eastAsia" w:ascii="宋体" w:hAnsi="宋体"/>
          <w:color w:val="auto"/>
          <w:szCs w:val="21"/>
          <w:highlight w:val="none"/>
        </w:rPr>
        <w:t>响应</w:t>
      </w:r>
      <w:r>
        <w:rPr>
          <w:rFonts w:ascii="宋体" w:hAnsi="宋体"/>
          <w:color w:val="auto"/>
          <w:szCs w:val="21"/>
          <w:highlight w:val="none"/>
        </w:rPr>
        <w:t>文件的响应性只根据</w:t>
      </w:r>
      <w:r>
        <w:rPr>
          <w:rFonts w:hint="eastAsia" w:ascii="宋体" w:hAnsi="宋体"/>
          <w:color w:val="auto"/>
          <w:szCs w:val="21"/>
          <w:highlight w:val="none"/>
        </w:rPr>
        <w:t>响应</w:t>
      </w:r>
      <w:r>
        <w:rPr>
          <w:rFonts w:ascii="宋体" w:hAnsi="宋体"/>
          <w:color w:val="auto"/>
          <w:szCs w:val="21"/>
          <w:highlight w:val="none"/>
        </w:rPr>
        <w:t>文件本身的内容，而不寻求外部的证据。</w:t>
      </w:r>
    </w:p>
    <w:p w14:paraId="0F3CAA81">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5.3 被认定为未实质性响应磋商文件的响应文件的情形：</w:t>
      </w:r>
    </w:p>
    <w:p w14:paraId="2C6E2775">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（1）未按要求交纳磋商保证金的（如有）；</w:t>
      </w:r>
    </w:p>
    <w:p w14:paraId="326E2DC9">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（2）未按照磋商文件规定要求签署、盖章的；</w:t>
      </w:r>
    </w:p>
    <w:p w14:paraId="3E3D891C">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（3）供应商在报价时采用选择性报价的；</w:t>
      </w:r>
    </w:p>
    <w:p w14:paraId="74D16242">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（4）供应商不具备磋商文件中规定资格要求的；</w:t>
      </w:r>
    </w:p>
    <w:p w14:paraId="052B3A71">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（5）不符合法律、法规和磋商文件中规定的其他实质性要求和条件的（本磋商文件中斜体且有下划线部分为实质性要求和条件）；</w:t>
      </w:r>
    </w:p>
    <w:p w14:paraId="2A1705FC">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（6）未按磋商文件要求提供电子响应文件或者电子响应文件未能解密（指磋商供应商自身原因）且按照磋商文件明确的响应文件解密失败后补救方案（仅响应文件现场开启适用）补救不成功的；</w:t>
      </w:r>
    </w:p>
    <w:p w14:paraId="48BC8818">
      <w:pPr>
        <w:tabs>
          <w:tab w:val="left" w:pos="900"/>
        </w:tabs>
        <w:spacing w:line="560" w:lineRule="exact"/>
        <w:ind w:firstLine="420"/>
        <w:jc w:val="left"/>
        <w:rPr>
          <w:rFonts w:hint="eastAsia" w:ascii="宋体" w:hAnsi="宋体" w:eastAsia="宋体"/>
          <w:color w:val="auto"/>
          <w:szCs w:val="21"/>
          <w:highlight w:val="none"/>
        </w:rPr>
      </w:pPr>
      <w:r>
        <w:rPr>
          <w:rFonts w:hint="eastAsia" w:ascii="宋体" w:hAnsi="宋体"/>
          <w:color w:val="auto"/>
          <w:szCs w:val="21"/>
          <w:highlight w:val="none"/>
        </w:rPr>
        <w:t>（7</w:t>
      </w:r>
      <w:r>
        <w:rPr>
          <w:rFonts w:hint="eastAsia" w:ascii="宋体" w:hAnsi="宋体" w:eastAsia="宋体"/>
          <w:color w:val="auto"/>
          <w:szCs w:val="21"/>
          <w:highlight w:val="none"/>
        </w:rPr>
        <w:t>）磋商供应商提交的电子响应文件、响应文件备份U盘（仅响应文件现场开启适用）均因其自身原因出现问题导致无法电子评审的；</w:t>
      </w:r>
    </w:p>
    <w:p w14:paraId="3B2680FF">
      <w:pPr>
        <w:tabs>
          <w:tab w:val="left" w:pos="900"/>
        </w:tabs>
        <w:spacing w:line="56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）供应商未通过符合性审查的。</w:t>
      </w:r>
    </w:p>
    <w:p w14:paraId="3F2D8186">
      <w:pPr>
        <w:tabs>
          <w:tab w:val="left" w:pos="900"/>
        </w:tabs>
        <w:spacing w:line="56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9</w:t>
      </w:r>
      <w:r>
        <w:rPr>
          <w:rFonts w:hint="eastAsia" w:ascii="宋体" w:hAnsi="宋体" w:eastAsia="宋体"/>
          <w:color w:val="auto"/>
          <w:szCs w:val="21"/>
          <w:highlight w:val="none"/>
        </w:rPr>
        <w:t>）供应商未按照要求对磋商或者最后报价作出响应的。</w:t>
      </w:r>
    </w:p>
    <w:p w14:paraId="4EE44D9B">
      <w:pPr>
        <w:tabs>
          <w:tab w:val="left" w:pos="900"/>
        </w:tabs>
        <w:spacing w:line="56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10</w:t>
      </w:r>
      <w:r>
        <w:rPr>
          <w:rFonts w:hint="eastAsia" w:ascii="宋体" w:hAnsi="宋体" w:eastAsia="宋体"/>
          <w:color w:val="auto"/>
          <w:szCs w:val="21"/>
          <w:highlight w:val="none"/>
        </w:rPr>
        <w:t>）供应商提交两个（含两个）以上不同的最后报价的。</w:t>
      </w:r>
    </w:p>
    <w:p w14:paraId="2554C214">
      <w:pPr>
        <w:tabs>
          <w:tab w:val="left" w:pos="900"/>
        </w:tabs>
        <w:spacing w:line="56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1</w:t>
      </w:r>
      <w:r>
        <w:rPr>
          <w:rFonts w:hint="eastAsia" w:ascii="宋体" w:hAnsi="宋体" w:eastAsia="宋体"/>
          <w:color w:val="auto"/>
          <w:szCs w:val="21"/>
          <w:highlight w:val="none"/>
        </w:rPr>
        <w:t>）供应商的最后报价超过了采购预算或者最高限价</w:t>
      </w:r>
      <w:bookmarkStart w:id="93" w:name="_GoBack"/>
      <w:bookmarkEnd w:id="93"/>
      <w:r>
        <w:rPr>
          <w:rFonts w:hint="eastAsia" w:ascii="宋体" w:hAnsi="宋体" w:eastAsia="宋体"/>
          <w:color w:val="auto"/>
          <w:szCs w:val="21"/>
          <w:highlight w:val="none"/>
        </w:rPr>
        <w:t>的。</w:t>
      </w:r>
    </w:p>
    <w:p w14:paraId="1C19E473">
      <w:pPr>
        <w:tabs>
          <w:tab w:val="left" w:pos="900"/>
        </w:tabs>
        <w:spacing w:line="56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）磋商小组认为磋商供应商</w:t>
      </w:r>
      <w:r>
        <w:rPr>
          <w:rFonts w:hint="eastAsia" w:ascii="宋体" w:hAnsi="宋体" w:eastAsia="宋体"/>
          <w:color w:val="auto"/>
          <w:sz w:val="24"/>
          <w:szCs w:val="21"/>
          <w:highlight w:val="none"/>
        </w:rPr>
        <w:t>的报价明显低于其他通过符合性审查</w:t>
      </w:r>
      <w:r>
        <w:rPr>
          <w:rFonts w:hint="eastAsia" w:ascii="宋体" w:hAnsi="宋体" w:eastAsia="宋体"/>
          <w:color w:val="auto"/>
          <w:szCs w:val="21"/>
          <w:highlight w:val="none"/>
        </w:rPr>
        <w:t>磋商供应商</w:t>
      </w:r>
      <w:r>
        <w:rPr>
          <w:rFonts w:hint="eastAsia" w:ascii="宋体" w:hAnsi="宋体" w:eastAsia="宋体"/>
          <w:color w:val="auto"/>
          <w:sz w:val="24"/>
          <w:szCs w:val="21"/>
          <w:highlight w:val="none"/>
        </w:rPr>
        <w:t>的报价，有可能影响产品质量或者不能诚信履约的，或</w:t>
      </w:r>
      <w:r>
        <w:rPr>
          <w:rFonts w:hint="eastAsia" w:ascii="宋体" w:hAnsi="宋体" w:eastAsia="宋体"/>
          <w:color w:val="auto"/>
          <w:szCs w:val="21"/>
          <w:highlight w:val="none"/>
        </w:rPr>
        <w:t>磋商小组</w:t>
      </w:r>
      <w:r>
        <w:rPr>
          <w:rFonts w:hint="eastAsia" w:ascii="宋体" w:hAnsi="宋体" w:eastAsia="宋体"/>
          <w:color w:val="auto"/>
          <w:sz w:val="24"/>
          <w:szCs w:val="21"/>
          <w:highlight w:val="none"/>
        </w:rPr>
        <w:t>启动异常低价投标（响应）审查程序，</w:t>
      </w:r>
      <w:r>
        <w:rPr>
          <w:rFonts w:hint="eastAsia" w:ascii="宋体" w:hAnsi="宋体" w:eastAsia="宋体"/>
          <w:color w:val="auto"/>
          <w:szCs w:val="21"/>
          <w:highlight w:val="none"/>
        </w:rPr>
        <w:t>磋商供应商</w:t>
      </w:r>
      <w:r>
        <w:rPr>
          <w:rFonts w:hint="eastAsia" w:ascii="宋体" w:hAnsi="宋体" w:eastAsia="宋体"/>
          <w:color w:val="auto"/>
          <w:sz w:val="24"/>
          <w:szCs w:val="21"/>
          <w:highlight w:val="none"/>
        </w:rPr>
        <w:t>在规定时间内未提供书面说明、证明材料，或提供的书面说明、证明材料不能证明其报价合理性的</w:t>
      </w:r>
      <w:r>
        <w:rPr>
          <w:rFonts w:hint="eastAsia" w:ascii="宋体" w:hAnsi="宋体" w:eastAsia="宋体"/>
          <w:color w:val="auto"/>
          <w:szCs w:val="21"/>
          <w:highlight w:val="none"/>
        </w:rPr>
        <w:t>。</w:t>
      </w:r>
    </w:p>
    <w:p w14:paraId="3A0FA469">
      <w:pPr>
        <w:tabs>
          <w:tab w:val="left" w:pos="900"/>
        </w:tabs>
        <w:spacing w:line="56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）响应文件含有采购人不能接受的附加条件的。</w:t>
      </w:r>
    </w:p>
    <w:p w14:paraId="1B43223D">
      <w:pPr>
        <w:tabs>
          <w:tab w:val="left" w:pos="900"/>
        </w:tabs>
        <w:spacing w:line="560" w:lineRule="exact"/>
        <w:ind w:firstLine="42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）响应文件未按照磋商文件要求加盖公章（CA电子公章）的。</w:t>
      </w:r>
    </w:p>
    <w:p w14:paraId="1A3D538F">
      <w:pPr>
        <w:tabs>
          <w:tab w:val="left" w:pos="900"/>
        </w:tabs>
        <w:spacing w:line="560" w:lineRule="exact"/>
        <w:ind w:firstLine="420"/>
        <w:jc w:val="left"/>
        <w:rPr>
          <w:rFonts w:ascii="宋体" w:hAnsi="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15</w:t>
      </w:r>
      <w:r>
        <w:rPr>
          <w:rFonts w:hint="eastAsia" w:ascii="宋体" w:hAnsi="宋体" w:eastAsia="宋体"/>
          <w:color w:val="auto"/>
          <w:szCs w:val="21"/>
          <w:highlight w:val="none"/>
        </w:rPr>
        <w:t>）其他法律、法规</w:t>
      </w:r>
      <w:r>
        <w:rPr>
          <w:rFonts w:hint="eastAsia" w:ascii="宋体" w:hAnsi="宋体"/>
          <w:color w:val="auto"/>
          <w:szCs w:val="21"/>
          <w:highlight w:val="none"/>
        </w:rPr>
        <w:t>及本磋商文件规定的属于未实质性响应的情形。</w:t>
      </w:r>
    </w:p>
    <w:p w14:paraId="4CC6B9BF">
      <w:pPr>
        <w:spacing w:line="560" w:lineRule="exact"/>
        <w:ind w:firstLine="420"/>
        <w:jc w:val="left"/>
        <w:rPr>
          <w:rFonts w:ascii="宋体" w:hAnsi="宋体"/>
          <w:color w:val="auto"/>
          <w:szCs w:val="21"/>
          <w:highlight w:val="none"/>
        </w:rPr>
      </w:pPr>
      <w:r>
        <w:rPr>
          <w:rFonts w:hint="eastAsia" w:ascii="宋体" w:hAnsi="宋体"/>
          <w:color w:val="auto"/>
          <w:szCs w:val="21"/>
          <w:highlight w:val="none"/>
        </w:rPr>
        <w:t xml:space="preserve">5.4 </w:t>
      </w:r>
      <w:r>
        <w:rPr>
          <w:rFonts w:hint="eastAsia" w:ascii="宋体" w:hAnsi="宋体"/>
          <w:b/>
          <w:color w:val="auto"/>
          <w:szCs w:val="21"/>
          <w:highlight w:val="none"/>
        </w:rPr>
        <w:t>未实质性响应磋商文件的响应文件按无效响应处理</w:t>
      </w:r>
      <w:r>
        <w:rPr>
          <w:rFonts w:hint="eastAsia" w:ascii="宋体" w:hAnsi="宋体"/>
          <w:color w:val="auto"/>
          <w:szCs w:val="21"/>
          <w:highlight w:val="none"/>
        </w:rPr>
        <w:t>，磋商小组应当告知提交响应文件的磋商供应商。磋商供应商不得通过修改或撤销不合要求的偏离或保留而使其响应文件成为实质性响应的文件。</w:t>
      </w:r>
    </w:p>
    <w:p w14:paraId="0858D6BC">
      <w:pPr>
        <w:tabs>
          <w:tab w:val="left" w:pos="900"/>
        </w:tabs>
        <w:spacing w:line="560" w:lineRule="exact"/>
        <w:ind w:firstLine="420"/>
        <w:jc w:val="left"/>
        <w:rPr>
          <w:rFonts w:ascii="宋体" w:hAnsi="宋体"/>
          <w:color w:val="auto"/>
          <w:szCs w:val="21"/>
          <w:highlight w:val="none"/>
        </w:rPr>
      </w:pPr>
      <w:bookmarkStart w:id="68" w:name="_Toc513029234"/>
      <w:bookmarkStart w:id="69" w:name="_Toc16938550"/>
      <w:bookmarkStart w:id="70" w:name="_Toc20823306"/>
      <w:r>
        <w:rPr>
          <w:rFonts w:hint="eastAsia" w:ascii="宋体" w:hAnsi="宋体"/>
          <w:color w:val="auto"/>
          <w:szCs w:val="21"/>
          <w:highlight w:val="none"/>
        </w:rPr>
        <w:t>6、</w:t>
      </w:r>
      <w:bookmarkEnd w:id="68"/>
      <w:bookmarkEnd w:id="69"/>
      <w:bookmarkEnd w:id="70"/>
      <w:r>
        <w:rPr>
          <w:rFonts w:hint="eastAsia" w:ascii="宋体" w:hAnsi="宋体"/>
          <w:color w:val="auto"/>
          <w:szCs w:val="21"/>
          <w:highlight w:val="none"/>
        </w:rPr>
        <w:t>磋商程序及评审方法和标准</w:t>
      </w:r>
    </w:p>
    <w:p w14:paraId="60F9BC63">
      <w:pPr>
        <w:tabs>
          <w:tab w:val="left" w:pos="900"/>
        </w:tabs>
        <w:spacing w:line="560" w:lineRule="exact"/>
        <w:ind w:firstLine="420"/>
        <w:jc w:val="left"/>
        <w:rPr>
          <w:rFonts w:ascii="宋体" w:hAnsi="宋体"/>
          <w:color w:val="auto"/>
          <w:szCs w:val="21"/>
          <w:highlight w:val="none"/>
        </w:rPr>
      </w:pPr>
      <w:bookmarkStart w:id="71" w:name="_Toc16938551"/>
      <w:bookmarkStart w:id="72" w:name="_Toc513029235"/>
      <w:bookmarkStart w:id="73" w:name="_Toc20823307"/>
      <w:r>
        <w:rPr>
          <w:rFonts w:hint="eastAsia" w:ascii="宋体" w:hAnsi="宋体"/>
          <w:color w:val="auto"/>
          <w:szCs w:val="21"/>
          <w:highlight w:val="none"/>
        </w:rPr>
        <w:t>6.1 磋商程序</w:t>
      </w:r>
    </w:p>
    <w:p w14:paraId="396478D3">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6.1.1 对于通过资格性和符合性审查的供应商，磋商小组所有成员将集中与单一磋商供应商分别进行磋商。</w:t>
      </w:r>
    </w:p>
    <w:p w14:paraId="08151305">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在磋商过程中，磋商小组可能根据磋商文件和磋商情况实质性变动采购需求中的技术、服务要求以及合同草案条款，但不得变动磋商文件中的其他内容。</w:t>
      </w:r>
    </w:p>
    <w:p w14:paraId="506260DA">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对磋商文件作出的实质性变动是磋商文件的有效组成部分，磋商小组通过</w:t>
      </w:r>
      <w:r>
        <w:rPr>
          <w:rFonts w:hint="eastAsia" w:ascii="宋体" w:hAnsi="宋体"/>
          <w:b/>
          <w:bCs/>
          <w:color w:val="auto"/>
          <w:szCs w:val="21"/>
          <w:highlight w:val="none"/>
        </w:rPr>
        <w:t>苏采云</w:t>
      </w:r>
      <w:r>
        <w:rPr>
          <w:rFonts w:hint="eastAsia" w:ascii="宋体" w:hAnsi="宋体"/>
          <w:color w:val="auto"/>
          <w:szCs w:val="21"/>
          <w:highlight w:val="none"/>
        </w:rPr>
        <w:t>系统，向所有参加磋商的供应商发出通知。供应商应当按照磋商文件的变动情况和磋商小组的要求重新提交响应文件，并使用CA数字证书签章后提交</w:t>
      </w:r>
      <w:r>
        <w:rPr>
          <w:rFonts w:hint="eastAsia" w:ascii="宋体" w:hAnsi="宋体"/>
          <w:b/>
          <w:color w:val="auto"/>
          <w:szCs w:val="21"/>
          <w:highlight w:val="none"/>
        </w:rPr>
        <w:t>。</w:t>
      </w:r>
    </w:p>
    <w:p w14:paraId="34BF719E">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 xml:space="preserve">6.1.2 </w:t>
      </w:r>
      <w:r>
        <w:rPr>
          <w:rFonts w:ascii="宋体" w:hAnsi="宋体"/>
          <w:color w:val="auto"/>
          <w:szCs w:val="21"/>
          <w:highlight w:val="none"/>
        </w:rPr>
        <w:t>磋商文件能够详细列明采购标的的技术、服务要求的，磋商结束后，磋商小组</w:t>
      </w:r>
      <w:r>
        <w:rPr>
          <w:rFonts w:hint="eastAsia" w:ascii="宋体" w:hAnsi="宋体"/>
          <w:color w:val="auto"/>
          <w:szCs w:val="21"/>
          <w:highlight w:val="none"/>
        </w:rPr>
        <w:t>将</w:t>
      </w:r>
      <w:r>
        <w:rPr>
          <w:rFonts w:ascii="宋体" w:hAnsi="宋体"/>
          <w:color w:val="auto"/>
          <w:szCs w:val="21"/>
          <w:highlight w:val="none"/>
        </w:rPr>
        <w:t>要求所有实质性响应的</w:t>
      </w:r>
      <w:r>
        <w:rPr>
          <w:rFonts w:hint="eastAsia" w:ascii="宋体" w:hAnsi="宋体"/>
          <w:color w:val="auto"/>
          <w:szCs w:val="21"/>
          <w:highlight w:val="none"/>
        </w:rPr>
        <w:t>供应商</w:t>
      </w:r>
      <w:r>
        <w:rPr>
          <w:rFonts w:ascii="宋体" w:hAnsi="宋体"/>
          <w:color w:val="auto"/>
          <w:szCs w:val="21"/>
          <w:highlight w:val="none"/>
        </w:rPr>
        <w:t>在规定时间内提交最后报价。</w:t>
      </w:r>
    </w:p>
    <w:p w14:paraId="5ACAF722">
      <w:pPr>
        <w:tabs>
          <w:tab w:val="left" w:pos="900"/>
        </w:tabs>
        <w:spacing w:line="560" w:lineRule="exact"/>
        <w:ind w:firstLine="420"/>
        <w:jc w:val="left"/>
        <w:rPr>
          <w:rFonts w:ascii="宋体" w:hAnsi="宋体"/>
          <w:b/>
          <w:color w:val="auto"/>
          <w:szCs w:val="21"/>
          <w:highlight w:val="none"/>
        </w:rPr>
      </w:pPr>
      <w:r>
        <w:rPr>
          <w:rFonts w:hint="eastAsia" w:ascii="宋体" w:hAnsi="宋体"/>
          <w:color w:val="auto"/>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01A8528E">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p>
    <w:p w14:paraId="34100160">
      <w:pPr>
        <w:tabs>
          <w:tab w:val="left" w:pos="900"/>
        </w:tabs>
        <w:spacing w:line="560" w:lineRule="exact"/>
        <w:ind w:firstLine="420"/>
        <w:jc w:val="left"/>
        <w:rPr>
          <w:b/>
          <w:bCs/>
          <w:color w:val="auto"/>
          <w:szCs w:val="21"/>
          <w:highlight w:val="none"/>
        </w:rPr>
      </w:pPr>
      <w:r>
        <w:rPr>
          <w:rFonts w:hint="eastAsia" w:ascii="宋体" w:hAnsi="宋体"/>
          <w:color w:val="auto"/>
          <w:szCs w:val="21"/>
          <w:highlight w:val="none"/>
        </w:rPr>
        <w:t>本项目为竞争性磋商，不见面系统开标形式。在磋商过程中多轮报价环节，供应商须在采购会议开启结束后，用CA登录供应商系统，先在“澄清、磋商、谈判”模块中等待磋商环节指令；磋商环节结束后，</w:t>
      </w:r>
      <w:r>
        <w:rPr>
          <w:rFonts w:hint="eastAsia"/>
          <w:color w:val="auto"/>
          <w:szCs w:val="21"/>
          <w:highlight w:val="none"/>
        </w:rPr>
        <w:t>供应商须在“报价”模块中等待报价环节指令。</w:t>
      </w:r>
    </w:p>
    <w:p w14:paraId="54B50ECC">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6.1.3 磋商供应商未在磋商小组规定的时间内完成最后报价的视为放弃磋商，其磋商响应按无效响应处理。</w:t>
      </w:r>
      <w:r>
        <w:rPr>
          <w:rFonts w:hint="eastAsia" w:ascii="宋体" w:hAnsi="宋体"/>
          <w:b/>
          <w:color w:val="auto"/>
          <w:szCs w:val="21"/>
          <w:highlight w:val="none"/>
        </w:rPr>
        <w:t>最后报价通过苏采云系统作出，使用CA数字证书签章后提交。</w:t>
      </w:r>
      <w:r>
        <w:rPr>
          <w:rFonts w:ascii="宋体" w:hAnsi="宋体"/>
          <w:color w:val="auto"/>
          <w:szCs w:val="21"/>
          <w:highlight w:val="none"/>
        </w:rPr>
        <w:t>已提交响应文件的</w:t>
      </w:r>
      <w:r>
        <w:rPr>
          <w:rFonts w:hint="eastAsia" w:ascii="宋体" w:hAnsi="宋体"/>
          <w:color w:val="auto"/>
          <w:szCs w:val="21"/>
          <w:highlight w:val="none"/>
        </w:rPr>
        <w:t>供应商</w:t>
      </w:r>
      <w:r>
        <w:rPr>
          <w:rFonts w:ascii="宋体" w:hAnsi="宋体"/>
          <w:color w:val="auto"/>
          <w:szCs w:val="21"/>
          <w:highlight w:val="none"/>
        </w:rPr>
        <w:t>，在提交最后报价之前，可以根据磋商情况退出磋商。</w:t>
      </w:r>
      <w:r>
        <w:rPr>
          <w:rFonts w:hint="eastAsia" w:ascii="宋体" w:hAnsi="宋体"/>
          <w:color w:val="auto"/>
          <w:szCs w:val="21"/>
          <w:highlight w:val="none"/>
        </w:rPr>
        <w:t>代理机构将</w:t>
      </w:r>
      <w:r>
        <w:rPr>
          <w:rFonts w:ascii="宋体" w:hAnsi="宋体"/>
          <w:color w:val="auto"/>
          <w:szCs w:val="21"/>
          <w:highlight w:val="none"/>
        </w:rPr>
        <w:t>退还退出磋商的</w:t>
      </w:r>
      <w:r>
        <w:rPr>
          <w:rFonts w:hint="eastAsia" w:ascii="宋体" w:hAnsi="宋体"/>
          <w:color w:val="auto"/>
          <w:szCs w:val="21"/>
          <w:highlight w:val="none"/>
        </w:rPr>
        <w:t>供应商</w:t>
      </w:r>
      <w:r>
        <w:rPr>
          <w:rFonts w:ascii="宋体" w:hAnsi="宋体"/>
          <w:color w:val="auto"/>
          <w:szCs w:val="21"/>
          <w:highlight w:val="none"/>
        </w:rPr>
        <w:t>的磋商保证金。</w:t>
      </w:r>
    </w:p>
    <w:p w14:paraId="794FBE77">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6.1.4 本项目各分项最终结算价按照磋商首次报价与最后报价同比例变动。</w:t>
      </w:r>
    </w:p>
    <w:p w14:paraId="5F2D512E">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6.2 评审方法和标准</w:t>
      </w:r>
    </w:p>
    <w:p w14:paraId="7C6C4B01">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6.2.1 评审方法。</w:t>
      </w:r>
      <w:r>
        <w:rPr>
          <w:rFonts w:hint="eastAsia" w:ascii="宋体" w:hAnsi="宋体"/>
          <w:b/>
          <w:color w:val="auto"/>
          <w:szCs w:val="21"/>
          <w:highlight w:val="none"/>
        </w:rPr>
        <w:t>经磋商确定最终采购需求和确定提交最后报价的供应商后，由磋商小组采用综合评分法对提交最后报价的供应商的响应文件和最后报价进行综合评分。</w:t>
      </w:r>
    </w:p>
    <w:p w14:paraId="7EB4A6FD">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综合评分法，是指响应文件满足磋商文件全部实质性要求且按评审因素的量化指标评审得分最高的供应商为成交候选供应商的评审方法。</w:t>
      </w:r>
    </w:p>
    <w:p w14:paraId="79F394D9">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评审时，磋商小组各成员独立对每个有效响应的文件进行评价、打分，然后汇总每个供应商每项评审因素的得分。</w:t>
      </w:r>
    </w:p>
    <w:p w14:paraId="1569B9E6">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6.2.2 评审标准</w:t>
      </w:r>
    </w:p>
    <w:p w14:paraId="09FA3068">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见本磋商文件第五章“评审方法和评审标准”。</w:t>
      </w:r>
    </w:p>
    <w:p w14:paraId="6A6F8720">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6.2.3 评审报告</w:t>
      </w:r>
    </w:p>
    <w:p w14:paraId="6F510404">
      <w:pPr>
        <w:tabs>
          <w:tab w:val="left" w:pos="900"/>
        </w:tabs>
        <w:spacing w:line="560" w:lineRule="exact"/>
        <w:ind w:firstLine="420"/>
        <w:jc w:val="left"/>
        <w:rPr>
          <w:rFonts w:ascii="宋体" w:hAnsi="宋体"/>
          <w:color w:val="auto"/>
          <w:szCs w:val="21"/>
          <w:highlight w:val="none"/>
        </w:rPr>
      </w:pPr>
      <w:r>
        <w:rPr>
          <w:rFonts w:ascii="宋体" w:hAnsi="宋体"/>
          <w:color w:val="auto"/>
          <w:szCs w:val="21"/>
          <w:highlight w:val="none"/>
        </w:rPr>
        <w:t>评审报告由磋商小组全体人员签字认可。磋商小组成员对评审报告有异议的，磋商小组按照少数服从多数的原则推荐成交候选</w:t>
      </w:r>
      <w:r>
        <w:rPr>
          <w:rFonts w:hint="eastAsia" w:ascii="宋体" w:hAnsi="宋体"/>
          <w:color w:val="auto"/>
          <w:szCs w:val="21"/>
          <w:highlight w:val="none"/>
        </w:rPr>
        <w:t>供应商</w:t>
      </w:r>
      <w:r>
        <w:rPr>
          <w:rFonts w:ascii="宋体" w:hAnsi="宋体"/>
          <w:color w:val="auto"/>
          <w:szCs w:val="21"/>
          <w:highlight w:val="none"/>
        </w:rPr>
        <w:t>，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23047A3">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6.3 采购活动终止的情况</w:t>
      </w:r>
    </w:p>
    <w:p w14:paraId="30B0045B">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出现下列情形之一的，本次竞争性磋商采购活动将被终止：</w:t>
      </w:r>
    </w:p>
    <w:p w14:paraId="21D27F5C">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（1）因情况变化，不再符合规定的竞争性磋商采购方式适用情形的；</w:t>
      </w:r>
    </w:p>
    <w:p w14:paraId="7272721E">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（2）出现影响采购公正的违法、违规行为的；</w:t>
      </w:r>
    </w:p>
    <w:p w14:paraId="554A33F6">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（3）在采购过程中符合要求的供应商或者报价未超过采购预算（最高限价）的供应商只有1家的。</w:t>
      </w:r>
    </w:p>
    <w:p w14:paraId="3C4A36CF">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7、响应文件现场开启特殊情况处理（采用不见面交易方式采购的本条款不适用）</w:t>
      </w:r>
    </w:p>
    <w:p w14:paraId="7E71DAC3">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7.1 因“开评标系统”自身故障，开标活动无法正常进行时，将使用响应文件备份U盘继续进行响应文件开启。</w:t>
      </w:r>
    </w:p>
    <w:p w14:paraId="0A1388CE">
      <w:pPr>
        <w:tabs>
          <w:tab w:val="left" w:pos="900"/>
        </w:tabs>
        <w:spacing w:line="560" w:lineRule="exact"/>
        <w:ind w:firstLine="420"/>
        <w:jc w:val="left"/>
        <w:rPr>
          <w:rFonts w:ascii="宋体" w:hAnsi="宋体"/>
          <w:color w:val="auto"/>
          <w:szCs w:val="21"/>
          <w:highlight w:val="none"/>
        </w:rPr>
      </w:pPr>
      <w:r>
        <w:rPr>
          <w:rFonts w:hint="eastAsia" w:ascii="宋体" w:hAnsi="宋体"/>
          <w:color w:val="auto"/>
          <w:szCs w:val="21"/>
          <w:highlight w:val="none"/>
        </w:rPr>
        <w:t>“开评标系统”自身故障是指非供应商原因造成所有供应商电子响应文件均无法解密的情形，部分响应文件无法解密的，不适用该条款。</w:t>
      </w:r>
    </w:p>
    <w:p w14:paraId="61D216DE">
      <w:pPr>
        <w:tabs>
          <w:tab w:val="left" w:pos="900"/>
        </w:tabs>
        <w:spacing w:line="560" w:lineRule="exact"/>
        <w:ind w:firstLine="420"/>
        <w:jc w:val="left"/>
        <w:rPr>
          <w:rFonts w:ascii="宋体" w:hAnsi="宋体"/>
          <w:color w:val="auto"/>
          <w:sz w:val="28"/>
          <w:szCs w:val="22"/>
          <w:highlight w:val="none"/>
        </w:rPr>
      </w:pPr>
      <w:r>
        <w:rPr>
          <w:rFonts w:hint="eastAsia" w:ascii="宋体" w:hAnsi="宋体"/>
          <w:color w:val="auto"/>
          <w:szCs w:val="21"/>
          <w:highlight w:val="none"/>
        </w:rPr>
        <w:t>对于不同载体的响应文件，开启、评审及认定顺序为电子响应文件、备份U盘，前项不能读取的可按后项评审。</w:t>
      </w:r>
      <w:bookmarkEnd w:id="71"/>
      <w:bookmarkEnd w:id="72"/>
      <w:bookmarkEnd w:id="73"/>
    </w:p>
    <w:p w14:paraId="205B43A9">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七、成交结果</w:t>
      </w:r>
    </w:p>
    <w:p w14:paraId="5022C4C6">
      <w:pPr>
        <w:ind w:firstLine="480"/>
        <w:jc w:val="left"/>
        <w:rPr>
          <w:rFonts w:ascii="宋体" w:hAnsi="宋体" w:cs="宋体"/>
          <w:color w:val="auto"/>
          <w:highlight w:val="none"/>
        </w:rPr>
      </w:pPr>
      <w:r>
        <w:rPr>
          <w:rFonts w:hint="eastAsia" w:ascii="宋体" w:hAnsi="宋体" w:cs="宋体"/>
          <w:color w:val="auto"/>
          <w:highlight w:val="none"/>
        </w:rPr>
        <w:t>1.确定成交单位</w:t>
      </w:r>
    </w:p>
    <w:p w14:paraId="16177512">
      <w:pPr>
        <w:ind w:firstLine="480"/>
        <w:jc w:val="left"/>
        <w:rPr>
          <w:rFonts w:ascii="宋体" w:hAnsi="宋体" w:cs="宋体"/>
          <w:color w:val="auto"/>
          <w:highlight w:val="none"/>
        </w:rPr>
      </w:pPr>
      <w:r>
        <w:rPr>
          <w:rFonts w:hint="eastAsia" w:ascii="宋体" w:hAnsi="宋体" w:cs="宋体"/>
          <w:color w:val="auto"/>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684F8B2F">
      <w:pPr>
        <w:ind w:firstLine="480"/>
        <w:jc w:val="left"/>
        <w:rPr>
          <w:rFonts w:ascii="宋体" w:hAnsi="宋体" w:cs="宋体"/>
          <w:color w:val="auto"/>
          <w:highlight w:val="none"/>
        </w:rPr>
      </w:pPr>
      <w:r>
        <w:rPr>
          <w:rFonts w:hint="eastAsia" w:ascii="宋体" w:hAnsi="宋体" w:cs="宋体"/>
          <w:color w:val="auto"/>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64CCAF26">
      <w:pPr>
        <w:ind w:firstLine="482"/>
        <w:jc w:val="left"/>
        <w:rPr>
          <w:rFonts w:ascii="宋体" w:hAnsi="宋体" w:cs="宋体"/>
          <w:b/>
          <w:bCs/>
          <w:color w:val="auto"/>
          <w:highlight w:val="none"/>
        </w:rPr>
      </w:pPr>
      <w:r>
        <w:rPr>
          <w:rFonts w:hint="eastAsia" w:ascii="宋体" w:hAnsi="宋体" w:cs="宋体"/>
          <w:b/>
          <w:bCs/>
          <w:color w:val="auto"/>
          <w:highlight w:val="none"/>
        </w:rPr>
        <w:t>成交供应商在领取成交通知书时，需提供</w:t>
      </w:r>
      <w:r>
        <w:rPr>
          <w:rFonts w:hint="eastAsia" w:ascii="宋体" w:hAnsi="宋体" w:cs="宋体"/>
          <w:b/>
          <w:bCs/>
          <w:color w:val="auto"/>
          <w:highlight w:val="none"/>
          <w:lang w:val="en-US" w:eastAsia="zh-CN"/>
        </w:rPr>
        <w:t>肆</w:t>
      </w:r>
      <w:r>
        <w:rPr>
          <w:rFonts w:hint="eastAsia" w:ascii="宋体" w:hAnsi="宋体" w:cs="宋体"/>
          <w:b/>
          <w:bCs/>
          <w:color w:val="auto"/>
          <w:highlight w:val="none"/>
        </w:rPr>
        <w:t>份与电子响应文件一致的纸质打印文件。</w:t>
      </w:r>
    </w:p>
    <w:p w14:paraId="6715D9B6">
      <w:pPr>
        <w:ind w:firstLine="480"/>
        <w:jc w:val="left"/>
        <w:rPr>
          <w:rFonts w:ascii="宋体" w:hAnsi="宋体" w:cs="宋体"/>
          <w:color w:val="auto"/>
          <w:highlight w:val="none"/>
        </w:rPr>
      </w:pPr>
      <w:r>
        <w:rPr>
          <w:rFonts w:hint="eastAsia" w:ascii="宋体" w:hAnsi="宋体" w:cs="宋体"/>
          <w:color w:val="auto"/>
          <w:highlight w:val="none"/>
        </w:rPr>
        <w:t>1.3 成交供应商有下列情形之一的，将取消其成交资格：</w:t>
      </w:r>
    </w:p>
    <w:p w14:paraId="3F3C5F2C">
      <w:pPr>
        <w:ind w:firstLine="480"/>
        <w:jc w:val="left"/>
        <w:rPr>
          <w:rFonts w:ascii="宋体" w:hAnsi="宋体" w:cs="宋体"/>
          <w:color w:val="auto"/>
          <w:highlight w:val="none"/>
        </w:rPr>
      </w:pPr>
      <w:r>
        <w:rPr>
          <w:rFonts w:hint="eastAsia" w:ascii="宋体" w:hAnsi="宋体" w:cs="宋体"/>
          <w:color w:val="auto"/>
          <w:highlight w:val="none"/>
        </w:rPr>
        <w:t>（1）提供虚假材料谋取成交的；</w:t>
      </w:r>
    </w:p>
    <w:p w14:paraId="0799D8DF">
      <w:pPr>
        <w:ind w:firstLine="480"/>
        <w:jc w:val="left"/>
        <w:rPr>
          <w:rFonts w:ascii="宋体" w:hAnsi="宋体" w:cs="宋体"/>
          <w:color w:val="auto"/>
          <w:highlight w:val="none"/>
        </w:rPr>
      </w:pPr>
      <w:r>
        <w:rPr>
          <w:rFonts w:hint="eastAsia" w:ascii="宋体" w:hAnsi="宋体" w:cs="宋体"/>
          <w:color w:val="auto"/>
          <w:highlight w:val="none"/>
        </w:rPr>
        <w:t>（2）与评审专家、采购人、其他供应商或者采购代理机构工作人员恶意串通的；</w:t>
      </w:r>
    </w:p>
    <w:p w14:paraId="0DFFB501">
      <w:pPr>
        <w:ind w:firstLine="480"/>
        <w:jc w:val="left"/>
        <w:rPr>
          <w:rFonts w:ascii="宋体" w:hAnsi="宋体" w:cs="宋体"/>
          <w:color w:val="auto"/>
          <w:highlight w:val="none"/>
        </w:rPr>
      </w:pPr>
      <w:r>
        <w:rPr>
          <w:rFonts w:hint="eastAsia" w:ascii="宋体" w:hAnsi="宋体" w:cs="宋体"/>
          <w:color w:val="auto"/>
          <w:highlight w:val="none"/>
        </w:rPr>
        <w:t>（3）向评审专家、采购人或采购代理机构工作人员行贿或者提供其他不正当利益的；</w:t>
      </w:r>
    </w:p>
    <w:p w14:paraId="751A35CA">
      <w:pPr>
        <w:ind w:firstLine="480"/>
        <w:jc w:val="left"/>
        <w:rPr>
          <w:rFonts w:ascii="宋体" w:hAnsi="宋体" w:cs="宋体"/>
          <w:color w:val="auto"/>
          <w:highlight w:val="none"/>
        </w:rPr>
      </w:pPr>
      <w:r>
        <w:rPr>
          <w:rFonts w:hint="eastAsia" w:ascii="宋体" w:hAnsi="宋体" w:cs="宋体"/>
          <w:color w:val="auto"/>
          <w:highlight w:val="none"/>
        </w:rPr>
        <w:t>（4）恶意竞争，最终总报价明显低于其自身合理成本且又无法提供证明的；</w:t>
      </w:r>
    </w:p>
    <w:p w14:paraId="01E4BEF4">
      <w:pPr>
        <w:ind w:firstLine="480"/>
        <w:jc w:val="left"/>
        <w:rPr>
          <w:rFonts w:ascii="宋体" w:hAnsi="宋体" w:cs="宋体"/>
          <w:color w:val="auto"/>
          <w:highlight w:val="none"/>
        </w:rPr>
      </w:pPr>
      <w:r>
        <w:rPr>
          <w:rFonts w:hint="eastAsia" w:ascii="宋体" w:hAnsi="宋体" w:cs="宋体"/>
          <w:color w:val="auto"/>
          <w:highlight w:val="none"/>
        </w:rPr>
        <w:t>（5）属于本文件规定的无效条件，但在评审过程中又未被磋商小组发现的；</w:t>
      </w:r>
    </w:p>
    <w:p w14:paraId="04E29AA6">
      <w:pPr>
        <w:ind w:firstLine="480"/>
        <w:jc w:val="left"/>
        <w:rPr>
          <w:rFonts w:ascii="宋体" w:hAnsi="宋体" w:cs="宋体"/>
          <w:color w:val="auto"/>
          <w:highlight w:val="none"/>
        </w:rPr>
      </w:pPr>
      <w:r>
        <w:rPr>
          <w:rFonts w:hint="eastAsia" w:ascii="宋体" w:hAnsi="宋体" w:cs="宋体"/>
          <w:color w:val="auto"/>
          <w:highlight w:val="none"/>
        </w:rPr>
        <w:t>（6）采取不正当手段诋毁、排挤其他供应商的；</w:t>
      </w:r>
    </w:p>
    <w:p w14:paraId="27FB23F2">
      <w:pPr>
        <w:ind w:firstLine="480"/>
        <w:jc w:val="left"/>
        <w:rPr>
          <w:rFonts w:ascii="宋体" w:hAnsi="宋体" w:cs="宋体"/>
          <w:color w:val="auto"/>
          <w:highlight w:val="none"/>
        </w:rPr>
      </w:pPr>
      <w:r>
        <w:rPr>
          <w:rFonts w:hint="eastAsia" w:ascii="宋体" w:hAnsi="宋体" w:cs="宋体"/>
          <w:color w:val="auto"/>
          <w:highlight w:val="none"/>
        </w:rPr>
        <w:t>（7）成交后无正当理由拒不与采购人签订政府采购合同或者未按照磋商文件确定的事项签订政府采购合同的；</w:t>
      </w:r>
    </w:p>
    <w:p w14:paraId="02BE0B1A">
      <w:pPr>
        <w:ind w:firstLine="480"/>
        <w:jc w:val="left"/>
        <w:rPr>
          <w:rFonts w:ascii="宋体" w:hAnsi="宋体" w:cs="宋体"/>
          <w:color w:val="auto"/>
          <w:highlight w:val="none"/>
        </w:rPr>
      </w:pPr>
      <w:r>
        <w:rPr>
          <w:rFonts w:hint="eastAsia" w:ascii="宋体" w:hAnsi="宋体" w:cs="宋体"/>
          <w:color w:val="auto"/>
          <w:highlight w:val="none"/>
        </w:rPr>
        <w:t>（8）将政府采购合同转包的；</w:t>
      </w:r>
    </w:p>
    <w:p w14:paraId="3CBFAE5A">
      <w:pPr>
        <w:ind w:firstLine="480"/>
        <w:jc w:val="left"/>
        <w:rPr>
          <w:rFonts w:ascii="宋体" w:hAnsi="宋体" w:cs="宋体"/>
          <w:color w:val="auto"/>
          <w:highlight w:val="none"/>
        </w:rPr>
      </w:pPr>
      <w:r>
        <w:rPr>
          <w:rFonts w:hint="eastAsia" w:ascii="宋体" w:hAnsi="宋体" w:cs="宋体"/>
          <w:color w:val="auto"/>
          <w:highlight w:val="none"/>
        </w:rPr>
        <w:t>（9）法律、法规、规章规定的属于成交无效的其他情形。</w:t>
      </w:r>
    </w:p>
    <w:p w14:paraId="20FFB05E">
      <w:pPr>
        <w:ind w:firstLine="480"/>
        <w:jc w:val="left"/>
        <w:rPr>
          <w:rFonts w:ascii="宋体" w:hAnsi="宋体" w:cs="宋体"/>
          <w:color w:val="auto"/>
          <w:highlight w:val="none"/>
        </w:rPr>
      </w:pPr>
      <w:r>
        <w:rPr>
          <w:rFonts w:hint="eastAsia" w:ascii="宋体" w:hAnsi="宋体" w:cs="宋体"/>
          <w:color w:val="auto"/>
          <w:highlight w:val="none"/>
        </w:rPr>
        <w:t>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5A0ABA73">
      <w:pPr>
        <w:ind w:firstLine="480"/>
        <w:jc w:val="left"/>
        <w:rPr>
          <w:rFonts w:ascii="宋体" w:hAnsi="宋体" w:cs="宋体"/>
          <w:color w:val="auto"/>
          <w:highlight w:val="none"/>
        </w:rPr>
      </w:pPr>
      <w:r>
        <w:rPr>
          <w:rFonts w:hint="eastAsia" w:ascii="宋体" w:hAnsi="宋体" w:cs="宋体"/>
          <w:color w:val="auto"/>
          <w:highlight w:val="none"/>
        </w:rPr>
        <w:t>1.5 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28DDCCED">
      <w:pPr>
        <w:ind w:firstLine="480"/>
        <w:jc w:val="left"/>
        <w:rPr>
          <w:rFonts w:ascii="宋体" w:hAnsi="宋体" w:cs="宋体"/>
          <w:color w:val="auto"/>
          <w:highlight w:val="none"/>
        </w:rPr>
      </w:pPr>
      <w:r>
        <w:rPr>
          <w:rFonts w:hint="eastAsia" w:ascii="宋体" w:hAnsi="宋体" w:cs="宋体"/>
          <w:color w:val="auto"/>
          <w:highlight w:val="none"/>
        </w:rPr>
        <w:t>1.6 政府采购合同履行中，采购人需追加与合同标的相同的服务的，在不改变合同其他条款的前提下，可以与供应商协商签订补充合同，但所有补充合同的采购金额不得超过原合同采购金额的百分之十。</w:t>
      </w:r>
    </w:p>
    <w:p w14:paraId="67BF9C05">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八、合同签订相关事项</w:t>
      </w:r>
    </w:p>
    <w:p w14:paraId="10778E10">
      <w:pPr>
        <w:ind w:firstLine="480"/>
        <w:jc w:val="left"/>
        <w:rPr>
          <w:rFonts w:ascii="宋体" w:hAnsi="宋体" w:cs="宋体"/>
          <w:color w:val="auto"/>
          <w:highlight w:val="none"/>
        </w:rPr>
      </w:pPr>
      <w:r>
        <w:rPr>
          <w:rFonts w:hint="eastAsia" w:ascii="宋体" w:hAnsi="宋体" w:cs="宋体"/>
          <w:color w:val="auto"/>
          <w:highlight w:val="none"/>
        </w:rPr>
        <w:t>1.签订合同</w:t>
      </w:r>
    </w:p>
    <w:p w14:paraId="73BA60DA">
      <w:pPr>
        <w:ind w:firstLine="480"/>
        <w:jc w:val="left"/>
        <w:rPr>
          <w:rFonts w:ascii="宋体" w:hAnsi="宋体" w:cs="宋体"/>
          <w:color w:val="auto"/>
          <w:highlight w:val="none"/>
        </w:rPr>
      </w:pPr>
      <w:r>
        <w:rPr>
          <w:rFonts w:hint="eastAsia" w:ascii="宋体" w:hAnsi="宋体" w:cs="宋体"/>
          <w:color w:val="auto"/>
          <w:highlight w:val="none"/>
        </w:rPr>
        <w:t>1.l 采购人与成交供应商应当在成交通知书发出之日起30日内，按照磋商文件确定的合同文本以及采购标的、规格型号、采购金额、采购数量、技术和服务要求等事项签订政府采购合同。</w:t>
      </w:r>
    </w:p>
    <w:p w14:paraId="1D4455FB">
      <w:pPr>
        <w:ind w:firstLine="480"/>
        <w:jc w:val="left"/>
        <w:rPr>
          <w:rFonts w:ascii="宋体" w:hAnsi="宋体" w:cs="宋体"/>
          <w:color w:val="auto"/>
          <w:highlight w:val="none"/>
        </w:rPr>
      </w:pPr>
      <w:r>
        <w:rPr>
          <w:rFonts w:hint="eastAsia" w:ascii="宋体" w:hAnsi="宋体" w:cs="宋体"/>
          <w:color w:val="auto"/>
          <w:highlight w:val="none"/>
        </w:rPr>
        <w:t>1.2 自政府采购合同签订之日起2个工作日内，将政府采购合同在指定的媒体上公告。</w:t>
      </w:r>
    </w:p>
    <w:p w14:paraId="3DCFF20D">
      <w:pPr>
        <w:ind w:firstLine="480"/>
        <w:jc w:val="left"/>
        <w:rPr>
          <w:rFonts w:ascii="宋体" w:hAnsi="宋体" w:cs="宋体"/>
          <w:color w:val="auto"/>
          <w:highlight w:val="none"/>
        </w:rPr>
      </w:pPr>
      <w:r>
        <w:rPr>
          <w:rFonts w:hint="eastAsia" w:ascii="宋体" w:hAnsi="宋体" w:cs="宋体"/>
          <w:color w:val="auto"/>
          <w:highlight w:val="none"/>
        </w:rPr>
        <w:t>1.3 磋商文件、成交供应商的响应文件及磋商采购过程中有关澄清、承诺文件均作为合同附件。</w:t>
      </w:r>
    </w:p>
    <w:p w14:paraId="23B55715">
      <w:pPr>
        <w:ind w:firstLine="480"/>
        <w:jc w:val="left"/>
        <w:rPr>
          <w:rFonts w:ascii="宋体" w:hAnsi="宋体" w:cs="宋体"/>
          <w:color w:val="auto"/>
          <w:highlight w:val="none"/>
        </w:rPr>
      </w:pPr>
      <w:r>
        <w:rPr>
          <w:rFonts w:hint="eastAsia" w:ascii="宋体" w:hAnsi="宋体" w:cs="宋体"/>
          <w:color w:val="auto"/>
          <w:highlight w:val="none"/>
        </w:rPr>
        <w:t>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1E66C4CC">
      <w:pPr>
        <w:ind w:firstLine="480"/>
        <w:jc w:val="left"/>
        <w:rPr>
          <w:rFonts w:ascii="宋体" w:hAnsi="宋体" w:cs="宋体"/>
          <w:color w:val="auto"/>
          <w:highlight w:val="none"/>
        </w:rPr>
      </w:pPr>
      <w:r>
        <w:rPr>
          <w:rFonts w:hint="eastAsia" w:ascii="宋体" w:hAnsi="宋体" w:cs="宋体"/>
          <w:color w:val="auto"/>
          <w:highlight w:val="none"/>
        </w:rPr>
        <w:t>2.履约保证金</w:t>
      </w:r>
    </w:p>
    <w:p w14:paraId="0288E4BA">
      <w:pPr>
        <w:ind w:firstLine="480"/>
        <w:jc w:val="left"/>
        <w:rPr>
          <w:rFonts w:ascii="宋体" w:hAnsi="宋体" w:cs="宋体"/>
          <w:color w:val="auto"/>
          <w:highlight w:val="none"/>
        </w:rPr>
      </w:pPr>
      <w:r>
        <w:rPr>
          <w:rFonts w:hint="eastAsia" w:ascii="宋体" w:hAnsi="宋体" w:cs="宋体"/>
          <w:color w:val="auto"/>
          <w:highlight w:val="none"/>
        </w:rPr>
        <w:t>2.1 履约保证金缴纳：成交供应商须向采购人交纳履约保证金，履约保证金必须在签订合同的同时以支票、汇票、本票、保函等非现金形式提交至采购人。</w:t>
      </w:r>
    </w:p>
    <w:p w14:paraId="48334C84">
      <w:pPr>
        <w:ind w:firstLine="480"/>
        <w:jc w:val="left"/>
        <w:rPr>
          <w:rFonts w:ascii="宋体" w:hAnsi="宋体" w:cs="宋体"/>
          <w:color w:val="auto"/>
          <w:highlight w:val="none"/>
        </w:rPr>
      </w:pPr>
      <w:r>
        <w:rPr>
          <w:rFonts w:hint="eastAsia" w:ascii="宋体" w:hAnsi="宋体" w:cs="宋体"/>
          <w:color w:val="auto"/>
          <w:highlight w:val="none"/>
        </w:rPr>
        <w:t>2.2 履约保证金的金额：</w:t>
      </w:r>
      <w:r>
        <w:rPr>
          <w:rFonts w:hint="eastAsia" w:ascii="宋体" w:hAnsi="宋体" w:cs="宋体"/>
          <w:bCs/>
          <w:color w:val="auto"/>
          <w:highlight w:val="none"/>
        </w:rPr>
        <w:t>合同价10%，具体缴纳方式及缴纳时间由采购人与成交供应商协商确定。</w:t>
      </w:r>
    </w:p>
    <w:p w14:paraId="69338648">
      <w:pPr>
        <w:ind w:firstLine="480"/>
        <w:jc w:val="left"/>
        <w:rPr>
          <w:rFonts w:ascii="宋体" w:hAnsi="宋体" w:cs="宋体"/>
          <w:color w:val="auto"/>
          <w:highlight w:val="none"/>
        </w:rPr>
      </w:pPr>
      <w:r>
        <w:rPr>
          <w:rFonts w:hint="eastAsia" w:ascii="宋体" w:hAnsi="宋体" w:cs="宋体"/>
          <w:color w:val="auto"/>
          <w:highlight w:val="none"/>
        </w:rPr>
        <w:t>2.3 履约保证金退还方式、退还时间、退还条件：待合同结束后30天内，成交供应商的履约保证金由采购人按照履约保证金的缴纳方式无息退还。</w:t>
      </w:r>
    </w:p>
    <w:p w14:paraId="2FB5466A">
      <w:pPr>
        <w:ind w:firstLine="480"/>
        <w:jc w:val="left"/>
        <w:rPr>
          <w:rFonts w:ascii="宋体" w:hAnsi="宋体" w:cs="宋体"/>
          <w:color w:val="auto"/>
          <w:highlight w:val="none"/>
        </w:rPr>
      </w:pPr>
      <w:r>
        <w:rPr>
          <w:rFonts w:hint="eastAsia" w:ascii="宋体" w:hAnsi="宋体" w:cs="宋体"/>
          <w:color w:val="auto"/>
          <w:highlight w:val="none"/>
        </w:rPr>
        <w:t>2.4 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p>
    <w:p w14:paraId="47A1E146">
      <w:pPr>
        <w:ind w:firstLine="480"/>
        <w:jc w:val="left"/>
        <w:rPr>
          <w:rFonts w:ascii="宋体" w:hAnsi="宋体" w:cs="宋体"/>
          <w:color w:val="auto"/>
          <w:highlight w:val="none"/>
        </w:rPr>
      </w:pPr>
      <w:r>
        <w:rPr>
          <w:rFonts w:hint="eastAsia" w:ascii="宋体" w:hAnsi="宋体" w:cs="宋体"/>
          <w:color w:val="auto"/>
          <w:highlight w:val="none"/>
        </w:rPr>
        <w:t>2.5 逾期退还履约保证金的违约责任：除不可抗力外，采购人逾期退还履约保证金的，除应当退还履约保证金本金外，还应按商业银行同期贷款利率上浮10%后的利率支付资金占用费。</w:t>
      </w:r>
    </w:p>
    <w:p w14:paraId="096084A1">
      <w:pPr>
        <w:ind w:firstLine="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九、政策功能</w:t>
      </w:r>
    </w:p>
    <w:p w14:paraId="454BDDC3">
      <w:pPr>
        <w:tabs>
          <w:tab w:val="left" w:pos="900"/>
        </w:tabs>
        <w:ind w:firstLine="480"/>
        <w:jc w:val="left"/>
        <w:rPr>
          <w:rFonts w:ascii="宋体" w:hAnsi="宋体" w:cs="宋体"/>
          <w:color w:val="auto"/>
          <w:highlight w:val="none"/>
        </w:rPr>
      </w:pPr>
      <w:r>
        <w:rPr>
          <w:rFonts w:hint="eastAsia" w:ascii="宋体" w:hAnsi="宋体" w:cs="宋体"/>
          <w:color w:val="auto"/>
          <w:highlight w:val="none"/>
        </w:rPr>
        <w:t>（一）本项目针对中小企业采购：</w:t>
      </w:r>
    </w:p>
    <w:p w14:paraId="5D5DC52D">
      <w:pPr>
        <w:tabs>
          <w:tab w:val="left" w:pos="900"/>
        </w:tabs>
        <w:ind w:firstLine="480"/>
        <w:jc w:val="left"/>
        <w:rPr>
          <w:rFonts w:ascii="宋体" w:hAnsi="宋体" w:cs="宋体"/>
          <w:color w:val="auto"/>
          <w:highlight w:val="none"/>
        </w:rPr>
      </w:pPr>
      <w:r>
        <w:rPr>
          <w:rFonts w:hint="eastAsia" w:ascii="宋体" w:hAnsi="宋体" w:cs="宋体"/>
          <w:color w:val="auto"/>
          <w:highlight w:val="none"/>
        </w:rPr>
        <w:t>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p>
    <w:p w14:paraId="6285ED72">
      <w:pPr>
        <w:tabs>
          <w:tab w:val="left" w:pos="900"/>
        </w:tabs>
        <w:ind w:firstLine="480"/>
        <w:jc w:val="left"/>
        <w:rPr>
          <w:rFonts w:ascii="宋体" w:hAnsi="宋体" w:cs="宋体"/>
          <w:color w:val="auto"/>
          <w:highlight w:val="none"/>
        </w:rPr>
      </w:pPr>
      <w:r>
        <w:rPr>
          <w:rFonts w:hint="eastAsia" w:ascii="宋体" w:hAnsi="宋体" w:cs="宋体"/>
          <w:color w:val="auto"/>
          <w:highlight w:val="none"/>
        </w:rPr>
        <w:t>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C7FB13E">
      <w:pPr>
        <w:tabs>
          <w:tab w:val="left" w:pos="900"/>
        </w:tabs>
        <w:ind w:firstLine="480"/>
        <w:jc w:val="left"/>
        <w:rPr>
          <w:rFonts w:ascii="宋体" w:hAnsi="宋体" w:cs="宋体"/>
          <w:color w:val="auto"/>
          <w:highlight w:val="none"/>
        </w:rPr>
      </w:pPr>
      <w:r>
        <w:rPr>
          <w:rFonts w:hint="eastAsia" w:ascii="宋体" w:hAnsi="宋体" w:cs="宋体"/>
          <w:color w:val="auto"/>
          <w:highlight w:val="none"/>
        </w:rPr>
        <w:t>中小企业参加政府采购活动，应当出具本办法规定的《中小企业声明函》，否则不得享受相关中小企业扶持政策。</w:t>
      </w:r>
    </w:p>
    <w:p w14:paraId="67304997">
      <w:pPr>
        <w:tabs>
          <w:tab w:val="left" w:pos="900"/>
        </w:tabs>
        <w:ind w:firstLine="480"/>
        <w:jc w:val="left"/>
        <w:rPr>
          <w:rFonts w:ascii="宋体" w:hAnsi="宋体" w:cs="宋体"/>
          <w:color w:val="auto"/>
          <w:highlight w:val="none"/>
        </w:rPr>
      </w:pPr>
      <w:r>
        <w:rPr>
          <w:rFonts w:hint="eastAsia" w:ascii="宋体" w:hAnsi="宋体" w:cs="宋体"/>
          <w:color w:val="auto"/>
          <w:highlight w:val="none"/>
        </w:rPr>
        <w:t>3.供应商为残疾人福利性单位且提供的货物全部由残疾人福利性单位制造的，符合财 库〔2017〕141 号文件规定条件的残疾人福利性单位视同小型、微型企业，提供《残疾人福利性单位声明函》。</w:t>
      </w:r>
    </w:p>
    <w:p w14:paraId="34098A1D">
      <w:pPr>
        <w:tabs>
          <w:tab w:val="left" w:pos="900"/>
        </w:tabs>
        <w:ind w:firstLine="480"/>
        <w:jc w:val="left"/>
        <w:rPr>
          <w:rFonts w:ascii="宋体" w:hAnsi="宋体" w:cs="宋体"/>
          <w:color w:val="auto"/>
          <w:highlight w:val="none"/>
        </w:rPr>
      </w:pPr>
      <w:r>
        <w:rPr>
          <w:rFonts w:hint="eastAsia" w:ascii="宋体" w:hAnsi="宋体" w:cs="宋体"/>
          <w:color w:val="auto"/>
          <w:highlight w:val="none"/>
        </w:rPr>
        <w:t>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84F341">
      <w:pPr>
        <w:tabs>
          <w:tab w:val="left" w:pos="900"/>
        </w:tabs>
        <w:ind w:firstLine="480"/>
        <w:jc w:val="left"/>
        <w:rPr>
          <w:rFonts w:ascii="宋体" w:hAnsi="宋体" w:cs="宋体"/>
          <w:color w:val="auto"/>
          <w:highlight w:val="none"/>
        </w:rPr>
      </w:pPr>
      <w:r>
        <w:rPr>
          <w:rFonts w:hint="eastAsia" w:ascii="宋体" w:hAnsi="宋体" w:cs="宋体"/>
          <w:color w:val="auto"/>
          <w:highlight w:val="none"/>
        </w:rPr>
        <w:t>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p>
    <w:p w14:paraId="155B0553">
      <w:pPr>
        <w:tabs>
          <w:tab w:val="left" w:pos="900"/>
        </w:tabs>
        <w:ind w:firstLine="480"/>
        <w:jc w:val="left"/>
        <w:rPr>
          <w:rFonts w:ascii="宋体" w:hAnsi="宋体" w:cs="宋体"/>
          <w:color w:val="auto"/>
          <w:highlight w:val="none"/>
        </w:rPr>
      </w:pPr>
      <w:r>
        <w:rPr>
          <w:rFonts w:hint="eastAsia" w:ascii="宋体" w:hAnsi="宋体" w:cs="宋体"/>
          <w:color w:val="auto"/>
          <w:highlight w:val="none"/>
        </w:rPr>
        <w:t>5.在政府采购活动中，供应商提供的货物、工程或者服务符合下列情形的，享受本办法规定的中小企业扶持政策：</w:t>
      </w:r>
    </w:p>
    <w:p w14:paraId="03459569">
      <w:pPr>
        <w:tabs>
          <w:tab w:val="left" w:pos="900"/>
        </w:tabs>
        <w:ind w:firstLine="480"/>
        <w:jc w:val="left"/>
        <w:rPr>
          <w:rFonts w:ascii="宋体" w:hAnsi="宋体" w:cs="宋体"/>
          <w:color w:val="auto"/>
          <w:highlight w:val="none"/>
        </w:rPr>
      </w:pPr>
      <w:r>
        <w:rPr>
          <w:rFonts w:hint="eastAsia" w:ascii="宋体" w:hAnsi="宋体" w:cs="宋体"/>
          <w:color w:val="auto"/>
          <w:highlight w:val="none"/>
        </w:rPr>
        <w:t>（1）在货物采购项目中，货物由中小企业制造，即货物由中小企业生产且使用该中小企业商号或者注册商标；</w:t>
      </w:r>
    </w:p>
    <w:p w14:paraId="70E577E7">
      <w:pPr>
        <w:tabs>
          <w:tab w:val="left" w:pos="900"/>
        </w:tabs>
        <w:ind w:firstLine="480"/>
        <w:jc w:val="left"/>
        <w:rPr>
          <w:rFonts w:ascii="宋体" w:hAnsi="宋体" w:cs="宋体"/>
          <w:color w:val="auto"/>
          <w:highlight w:val="none"/>
        </w:rPr>
      </w:pPr>
      <w:r>
        <w:rPr>
          <w:rFonts w:hint="eastAsia" w:ascii="宋体" w:hAnsi="宋体" w:cs="宋体"/>
          <w:color w:val="auto"/>
          <w:highlight w:val="none"/>
        </w:rPr>
        <w:t>（2）在工程采购项目中，工程由中小企业承建，即工程施工单位为中小企业；</w:t>
      </w:r>
    </w:p>
    <w:p w14:paraId="4B0CF7A7">
      <w:pPr>
        <w:tabs>
          <w:tab w:val="left" w:pos="900"/>
        </w:tabs>
        <w:ind w:firstLine="480"/>
        <w:jc w:val="left"/>
        <w:rPr>
          <w:rFonts w:ascii="宋体" w:hAnsi="宋体" w:cs="宋体"/>
          <w:color w:val="auto"/>
          <w:highlight w:val="none"/>
        </w:rPr>
      </w:pPr>
      <w:r>
        <w:rPr>
          <w:rFonts w:hint="eastAsia" w:ascii="宋体" w:hAnsi="宋体" w:cs="宋体"/>
          <w:color w:val="auto"/>
          <w:highlight w:val="none"/>
        </w:rPr>
        <w:t>（3）在服务采购项目中，服务由中小企业承接，即提供服务的人员为中小企业依照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9DAD434">
      <w:pPr>
        <w:tabs>
          <w:tab w:val="left" w:pos="900"/>
        </w:tabs>
        <w:ind w:firstLine="480"/>
        <w:jc w:val="left"/>
        <w:rPr>
          <w:rFonts w:ascii="宋体" w:hAnsi="宋体" w:cs="宋体"/>
          <w:color w:val="auto"/>
          <w:highlight w:val="none"/>
        </w:rPr>
      </w:pPr>
      <w:r>
        <w:rPr>
          <w:rFonts w:hint="eastAsia" w:ascii="宋体" w:hAnsi="宋体" w:cs="宋体"/>
          <w:color w:val="auto"/>
          <w:highlight w:val="none"/>
        </w:rPr>
        <w:t>以上规定未尽事项，按《政府采购促进中小企业发展管理办法》等有关制度规定执行。</w:t>
      </w:r>
    </w:p>
    <w:p w14:paraId="31A11D93">
      <w:pPr>
        <w:tabs>
          <w:tab w:val="left" w:pos="900"/>
        </w:tabs>
        <w:ind w:firstLine="480"/>
        <w:jc w:val="left"/>
        <w:rPr>
          <w:rFonts w:ascii="宋体" w:hAnsi="宋体" w:cs="宋体"/>
          <w:color w:val="auto"/>
          <w:highlight w:val="none"/>
        </w:rPr>
      </w:pPr>
      <w:r>
        <w:rPr>
          <w:rFonts w:hint="eastAsia" w:ascii="宋体" w:hAnsi="宋体" w:cs="宋体"/>
          <w:color w:val="auto"/>
          <w:highlight w:val="none"/>
        </w:rPr>
        <w:t>6.《中小企业声明函》等相关资料应上传至电子投标文件中，否则不予认可。</w:t>
      </w:r>
    </w:p>
    <w:p w14:paraId="52DC3C93">
      <w:pPr>
        <w:tabs>
          <w:tab w:val="left" w:pos="900"/>
        </w:tabs>
        <w:ind w:firstLine="480"/>
        <w:jc w:val="left"/>
        <w:rPr>
          <w:rFonts w:ascii="宋体" w:hAnsi="宋体" w:cs="宋体"/>
          <w:color w:val="auto"/>
          <w:highlight w:val="none"/>
        </w:rPr>
      </w:pPr>
      <w:r>
        <w:rPr>
          <w:rFonts w:hint="eastAsia" w:ascii="宋体" w:hAnsi="宋体" w:cs="宋体"/>
          <w:color w:val="auto"/>
          <w:highlight w:val="none"/>
        </w:rPr>
        <w:t>7.</w:t>
      </w:r>
      <w:r>
        <w:rPr>
          <w:rFonts w:hint="eastAsia" w:ascii="宋体" w:hAnsi="宋体" w:eastAsia="Arial Unicode MS" w:cs="宋体"/>
          <w:b/>
          <w:bCs/>
          <w:color w:val="auto"/>
          <w:highlight w:val="none"/>
        </w:rPr>
        <w:t>本项目所属行业为其他未列明行业</w:t>
      </w:r>
      <w:r>
        <w:rPr>
          <w:rFonts w:hint="eastAsia" w:ascii="宋体" w:hAnsi="宋体" w:cs="宋体"/>
          <w:color w:val="auto"/>
          <w:sz w:val="32"/>
          <w:szCs w:val="32"/>
          <w:highlight w:val="none"/>
        </w:rPr>
        <w:t>。</w:t>
      </w:r>
    </w:p>
    <w:p w14:paraId="73EEBB82">
      <w:pPr>
        <w:tabs>
          <w:tab w:val="left" w:pos="900"/>
        </w:tabs>
        <w:ind w:firstLine="240"/>
        <w:jc w:val="left"/>
        <w:rPr>
          <w:rFonts w:ascii="宋体" w:hAnsi="宋体" w:cs="宋体"/>
          <w:color w:val="auto"/>
          <w:highlight w:val="none"/>
        </w:rPr>
      </w:pPr>
      <w:r>
        <w:rPr>
          <w:rFonts w:hint="eastAsia" w:ascii="宋体" w:hAnsi="宋体" w:cs="宋体"/>
          <w:color w:val="auto"/>
          <w:highlight w:val="none"/>
        </w:rPr>
        <w:t>（二）支持绿色发展</w:t>
      </w:r>
    </w:p>
    <w:p w14:paraId="226D8510">
      <w:pPr>
        <w:tabs>
          <w:tab w:val="left" w:pos="900"/>
        </w:tabs>
        <w:ind w:firstLine="240"/>
        <w:jc w:val="left"/>
        <w:rPr>
          <w:rFonts w:ascii="宋体" w:hAnsi="宋体" w:cs="宋体"/>
          <w:color w:val="auto"/>
          <w:highlight w:val="none"/>
        </w:rPr>
      </w:pPr>
      <w:r>
        <w:rPr>
          <w:rFonts w:hint="eastAsia" w:ascii="宋体" w:hAnsi="宋体" w:cs="宋体"/>
          <w:color w:val="auto"/>
          <w:highlight w:val="none"/>
        </w:rPr>
        <w:t>（1）本项目执行《关于印发环境标志产品政府采购品目清单的通知》（财库〔2019〕18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1BFA55B2">
      <w:pPr>
        <w:tabs>
          <w:tab w:val="left" w:pos="900"/>
        </w:tabs>
        <w:ind w:firstLine="240"/>
        <w:jc w:val="left"/>
        <w:rPr>
          <w:rFonts w:ascii="宋体" w:hAnsi="宋体" w:cs="宋体"/>
          <w:color w:val="auto"/>
          <w:highlight w:val="none"/>
        </w:rPr>
      </w:pPr>
      <w:r>
        <w:rPr>
          <w:rFonts w:hint="eastAsia" w:ascii="宋体" w:hAnsi="宋体" w:cs="宋体"/>
          <w:color w:val="auto"/>
          <w:highlight w:val="none"/>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781F9C35">
      <w:pPr>
        <w:tabs>
          <w:tab w:val="left" w:pos="900"/>
        </w:tabs>
        <w:ind w:firstLine="240"/>
        <w:jc w:val="left"/>
        <w:rPr>
          <w:rFonts w:ascii="宋体" w:hAnsi="宋体" w:cs="宋体"/>
          <w:b/>
          <w:bCs/>
          <w:color w:val="auto"/>
          <w:sz w:val="28"/>
          <w:szCs w:val="28"/>
          <w:highlight w:val="none"/>
        </w:rPr>
      </w:pPr>
      <w:r>
        <w:rPr>
          <w:rFonts w:hint="eastAsia" w:ascii="宋体" w:hAnsi="宋体" w:cs="宋体"/>
          <w:color w:val="auto"/>
          <w:highlight w:val="none"/>
        </w:rPr>
        <w:t>（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23AA6C59">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十、质疑和投诉</w:t>
      </w:r>
    </w:p>
    <w:p w14:paraId="6F271AB2">
      <w:pPr>
        <w:tabs>
          <w:tab w:val="left" w:pos="900"/>
        </w:tabs>
        <w:ind w:firstLine="480"/>
        <w:jc w:val="left"/>
        <w:rPr>
          <w:rFonts w:ascii="宋体" w:hAnsi="宋体" w:cs="宋体"/>
          <w:color w:val="auto"/>
          <w:highlight w:val="none"/>
        </w:rPr>
      </w:pPr>
      <w:r>
        <w:rPr>
          <w:rFonts w:hint="eastAsia" w:ascii="宋体" w:hAnsi="宋体" w:cs="宋体"/>
          <w:color w:val="auto"/>
          <w:highlight w:val="none"/>
        </w:rPr>
        <w:t>1.质疑的提出</w:t>
      </w:r>
    </w:p>
    <w:p w14:paraId="47254E2A">
      <w:pPr>
        <w:tabs>
          <w:tab w:val="left" w:pos="900"/>
        </w:tabs>
        <w:ind w:firstLine="480"/>
        <w:jc w:val="left"/>
        <w:rPr>
          <w:rFonts w:ascii="宋体" w:hAnsi="宋体" w:cs="宋体"/>
          <w:color w:val="auto"/>
          <w:highlight w:val="none"/>
        </w:rPr>
      </w:pPr>
      <w:r>
        <w:rPr>
          <w:rFonts w:hint="eastAsia" w:ascii="宋体" w:hAnsi="宋体" w:cs="宋体"/>
          <w:color w:val="auto"/>
          <w:highlight w:val="none"/>
        </w:rPr>
        <w:t>1.1 提出质疑的供应商应当是参与所质疑项目采购活动的供应商。</w:t>
      </w:r>
    </w:p>
    <w:p w14:paraId="089C2129">
      <w:pPr>
        <w:tabs>
          <w:tab w:val="left" w:pos="900"/>
        </w:tabs>
        <w:ind w:firstLine="480"/>
        <w:jc w:val="left"/>
        <w:rPr>
          <w:rFonts w:ascii="宋体" w:hAnsi="宋体" w:cs="宋体"/>
          <w:color w:val="auto"/>
          <w:highlight w:val="none"/>
        </w:rPr>
      </w:pPr>
      <w:r>
        <w:rPr>
          <w:rFonts w:hint="eastAsia" w:ascii="宋体" w:hAnsi="宋体" w:cs="宋体"/>
          <w:color w:val="auto"/>
          <w:highlight w:val="none"/>
        </w:rPr>
        <w:t>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p>
    <w:p w14:paraId="2486F071">
      <w:pPr>
        <w:tabs>
          <w:tab w:val="left" w:pos="900"/>
        </w:tabs>
        <w:ind w:firstLine="480"/>
        <w:jc w:val="left"/>
        <w:rPr>
          <w:rFonts w:ascii="宋体" w:hAnsi="宋体" w:cs="宋体"/>
          <w:color w:val="auto"/>
          <w:highlight w:val="none"/>
        </w:rPr>
      </w:pPr>
      <w:r>
        <w:rPr>
          <w:rFonts w:hint="eastAsia" w:ascii="宋体" w:hAnsi="宋体" w:cs="宋体"/>
          <w:color w:val="auto"/>
          <w:highlight w:val="none"/>
        </w:rPr>
        <w:t>1.3 提出质疑时，必须坚持“谁主张，谁举证”“实事求是”的原则，不能臆测。</w:t>
      </w:r>
    </w:p>
    <w:p w14:paraId="4C7831BD">
      <w:pPr>
        <w:tabs>
          <w:tab w:val="left" w:pos="900"/>
        </w:tabs>
        <w:ind w:firstLine="480"/>
        <w:jc w:val="left"/>
        <w:rPr>
          <w:rFonts w:ascii="宋体" w:hAnsi="宋体" w:cs="宋体"/>
          <w:color w:val="auto"/>
          <w:highlight w:val="none"/>
        </w:rPr>
      </w:pPr>
      <w:r>
        <w:rPr>
          <w:rFonts w:hint="eastAsia" w:ascii="宋体" w:hAnsi="宋体" w:cs="宋体"/>
          <w:color w:val="auto"/>
          <w:highlight w:val="none"/>
        </w:rPr>
        <w:t>属于须由法定部门调查、侦查或先行作出相关认定的事项，质疑供应商应当依法申请具有法定职权的部门查清、认定，并将相关结果提供给采购人、采购代理机构。采购人、采购代理机构不具有法定调查、认定权限。</w:t>
      </w:r>
    </w:p>
    <w:p w14:paraId="590AF715">
      <w:pPr>
        <w:tabs>
          <w:tab w:val="left" w:pos="900"/>
        </w:tabs>
        <w:ind w:firstLine="480"/>
        <w:jc w:val="left"/>
        <w:rPr>
          <w:rFonts w:ascii="宋体" w:hAnsi="宋体" w:cs="宋体"/>
          <w:color w:val="auto"/>
          <w:highlight w:val="none"/>
        </w:rPr>
      </w:pPr>
      <w:r>
        <w:rPr>
          <w:rFonts w:hint="eastAsia" w:ascii="宋体" w:hAnsi="宋体" w:cs="宋体"/>
          <w:color w:val="auto"/>
          <w:highlight w:val="none"/>
        </w:rPr>
        <w:t>1.4 质疑函的接收方式为供应商书面原件提交。联系部门、联系电话和通讯地址详见本磋商文件“竞争性磋商采购公告”。质疑实行实名制，不得进行虚假、恶意质疑。</w:t>
      </w:r>
    </w:p>
    <w:p w14:paraId="1C11F3EE">
      <w:pPr>
        <w:tabs>
          <w:tab w:val="left" w:pos="900"/>
        </w:tabs>
        <w:ind w:firstLine="480"/>
        <w:jc w:val="left"/>
        <w:rPr>
          <w:rFonts w:ascii="宋体" w:hAnsi="宋体" w:cs="宋体"/>
          <w:color w:val="auto"/>
          <w:highlight w:val="none"/>
        </w:rPr>
      </w:pPr>
      <w:r>
        <w:rPr>
          <w:rFonts w:hint="eastAsia" w:ascii="宋体" w:hAnsi="宋体" w:cs="宋体"/>
          <w:color w:val="auto"/>
          <w:highlight w:val="none"/>
        </w:rPr>
        <w:t>1.5 质疑函应当使用范本（详见</w:t>
      </w:r>
      <w:r>
        <w:rPr>
          <w:rFonts w:hint="eastAsia" w:ascii="宋体" w:hAnsi="宋体" w:cs="宋体"/>
          <w:color w:val="auto"/>
          <w:highlight w:val="none"/>
          <w:lang w:val="en-US" w:eastAsia="zh-CN"/>
        </w:rPr>
        <w:t>采购</w:t>
      </w:r>
      <w:r>
        <w:rPr>
          <w:rFonts w:hint="eastAsia" w:ascii="宋体" w:hAnsi="宋体" w:cs="宋体"/>
          <w:color w:val="auto"/>
          <w:highlight w:val="none"/>
        </w:rPr>
        <w:t>文件第六章竞争性磋商响应文件格式）。</w:t>
      </w:r>
    </w:p>
    <w:p w14:paraId="12560E96">
      <w:pPr>
        <w:tabs>
          <w:tab w:val="left" w:pos="900"/>
        </w:tabs>
        <w:ind w:firstLine="480"/>
        <w:jc w:val="left"/>
        <w:rPr>
          <w:rFonts w:ascii="宋体" w:hAnsi="宋体" w:cs="宋体"/>
          <w:color w:val="auto"/>
          <w:highlight w:val="none"/>
        </w:rPr>
      </w:pPr>
      <w:r>
        <w:rPr>
          <w:rFonts w:hint="eastAsia" w:ascii="宋体" w:hAnsi="宋体" w:cs="宋体"/>
          <w:color w:val="auto"/>
          <w:highlight w:val="none"/>
        </w:rPr>
        <w:t>供应商提出质疑应当提交质疑函和必要的证明材料。应当包括下列内容：</w:t>
      </w:r>
    </w:p>
    <w:p w14:paraId="466404E9">
      <w:pPr>
        <w:tabs>
          <w:tab w:val="left" w:pos="900"/>
        </w:tabs>
        <w:ind w:firstLine="480"/>
        <w:jc w:val="left"/>
        <w:rPr>
          <w:rFonts w:ascii="宋体" w:hAnsi="宋体" w:cs="宋体"/>
          <w:color w:val="auto"/>
          <w:highlight w:val="none"/>
        </w:rPr>
      </w:pPr>
      <w:r>
        <w:rPr>
          <w:rFonts w:hint="eastAsia" w:ascii="宋体" w:hAnsi="宋体" w:cs="宋体"/>
          <w:color w:val="auto"/>
          <w:highlight w:val="none"/>
        </w:rPr>
        <w:t>（1）供应商的姓名或者名称、地址、邮编、联系人及联系电话；</w:t>
      </w:r>
    </w:p>
    <w:p w14:paraId="37167EBA">
      <w:pPr>
        <w:tabs>
          <w:tab w:val="left" w:pos="900"/>
        </w:tabs>
        <w:ind w:firstLine="480"/>
        <w:jc w:val="left"/>
        <w:rPr>
          <w:rFonts w:ascii="宋体" w:hAnsi="宋体" w:cs="宋体"/>
          <w:color w:val="auto"/>
          <w:highlight w:val="none"/>
        </w:rPr>
      </w:pPr>
      <w:r>
        <w:rPr>
          <w:rFonts w:hint="eastAsia" w:ascii="宋体" w:hAnsi="宋体" w:cs="宋体"/>
          <w:color w:val="auto"/>
          <w:highlight w:val="none"/>
        </w:rPr>
        <w:t>（2）质疑项目的名称、编号；</w:t>
      </w:r>
    </w:p>
    <w:p w14:paraId="30A8F433">
      <w:pPr>
        <w:tabs>
          <w:tab w:val="left" w:pos="900"/>
        </w:tabs>
        <w:ind w:firstLine="480"/>
        <w:jc w:val="left"/>
        <w:rPr>
          <w:rFonts w:ascii="宋体" w:hAnsi="宋体" w:cs="宋体"/>
          <w:color w:val="auto"/>
          <w:highlight w:val="none"/>
        </w:rPr>
      </w:pPr>
      <w:r>
        <w:rPr>
          <w:rFonts w:hint="eastAsia" w:ascii="宋体" w:hAnsi="宋体" w:cs="宋体"/>
          <w:color w:val="auto"/>
          <w:highlight w:val="none"/>
        </w:rPr>
        <w:t>（3）具体、明确的质疑事项和与质疑事项相关的请求；</w:t>
      </w:r>
    </w:p>
    <w:p w14:paraId="67A49F86">
      <w:pPr>
        <w:tabs>
          <w:tab w:val="left" w:pos="900"/>
        </w:tabs>
        <w:ind w:firstLine="480"/>
        <w:jc w:val="left"/>
        <w:rPr>
          <w:rFonts w:ascii="宋体" w:hAnsi="宋体" w:cs="宋体"/>
          <w:color w:val="auto"/>
          <w:highlight w:val="none"/>
        </w:rPr>
      </w:pPr>
      <w:r>
        <w:rPr>
          <w:rFonts w:hint="eastAsia" w:ascii="宋体" w:hAnsi="宋体" w:cs="宋体"/>
          <w:color w:val="auto"/>
          <w:highlight w:val="none"/>
        </w:rPr>
        <w:t>（4）事实依据；</w:t>
      </w:r>
    </w:p>
    <w:p w14:paraId="47C16810">
      <w:pPr>
        <w:tabs>
          <w:tab w:val="left" w:pos="900"/>
        </w:tabs>
        <w:ind w:firstLine="480"/>
        <w:jc w:val="left"/>
        <w:rPr>
          <w:rFonts w:ascii="宋体" w:hAnsi="宋体" w:cs="宋体"/>
          <w:color w:val="auto"/>
          <w:highlight w:val="none"/>
        </w:rPr>
      </w:pPr>
      <w:r>
        <w:rPr>
          <w:rFonts w:hint="eastAsia" w:ascii="宋体" w:hAnsi="宋体" w:cs="宋体"/>
          <w:color w:val="auto"/>
          <w:highlight w:val="none"/>
        </w:rPr>
        <w:t>（5）必要的法律依据；</w:t>
      </w:r>
    </w:p>
    <w:p w14:paraId="7CCDE6AF">
      <w:pPr>
        <w:tabs>
          <w:tab w:val="left" w:pos="900"/>
        </w:tabs>
        <w:ind w:firstLine="480"/>
        <w:jc w:val="left"/>
        <w:rPr>
          <w:rFonts w:ascii="宋体" w:hAnsi="宋体" w:cs="宋体"/>
          <w:color w:val="auto"/>
          <w:highlight w:val="none"/>
        </w:rPr>
      </w:pPr>
      <w:r>
        <w:rPr>
          <w:rFonts w:hint="eastAsia" w:ascii="宋体" w:hAnsi="宋体" w:cs="宋体"/>
          <w:color w:val="auto"/>
          <w:highlight w:val="none"/>
        </w:rPr>
        <w:t>（6）提出质疑的日期；</w:t>
      </w:r>
    </w:p>
    <w:p w14:paraId="122EC412">
      <w:pPr>
        <w:tabs>
          <w:tab w:val="left" w:pos="900"/>
        </w:tabs>
        <w:ind w:firstLine="480"/>
        <w:jc w:val="left"/>
        <w:rPr>
          <w:rFonts w:ascii="宋体" w:hAnsi="宋体" w:cs="宋体"/>
          <w:color w:val="auto"/>
          <w:highlight w:val="none"/>
        </w:rPr>
      </w:pPr>
      <w:r>
        <w:rPr>
          <w:rFonts w:hint="eastAsia" w:ascii="宋体" w:hAnsi="宋体" w:cs="宋体"/>
          <w:color w:val="auto"/>
          <w:highlight w:val="none"/>
        </w:rPr>
        <w:t>（7）必要的证明材料；</w:t>
      </w:r>
    </w:p>
    <w:p w14:paraId="07ABA063">
      <w:pPr>
        <w:tabs>
          <w:tab w:val="left" w:pos="900"/>
        </w:tabs>
        <w:ind w:firstLine="480"/>
        <w:jc w:val="left"/>
        <w:rPr>
          <w:rFonts w:ascii="宋体" w:hAnsi="宋体" w:cs="宋体"/>
          <w:color w:val="auto"/>
          <w:highlight w:val="none"/>
        </w:rPr>
      </w:pPr>
      <w:r>
        <w:rPr>
          <w:rFonts w:hint="eastAsia" w:ascii="宋体" w:hAnsi="宋体" w:cs="宋体"/>
          <w:color w:val="auto"/>
          <w:highlight w:val="none"/>
        </w:rPr>
        <w:t>（8）采购文件(交易文件)下载回执函；</w:t>
      </w:r>
    </w:p>
    <w:p w14:paraId="754B0B61">
      <w:pPr>
        <w:tabs>
          <w:tab w:val="left" w:pos="900"/>
        </w:tabs>
        <w:ind w:firstLine="480"/>
        <w:jc w:val="left"/>
        <w:rPr>
          <w:rFonts w:ascii="宋体" w:hAnsi="宋体" w:cs="宋体"/>
          <w:color w:val="auto"/>
          <w:highlight w:val="none"/>
        </w:rPr>
      </w:pPr>
      <w:r>
        <w:rPr>
          <w:rFonts w:hint="eastAsia" w:ascii="宋体" w:hAnsi="宋体" w:cs="宋体"/>
          <w:color w:val="auto"/>
          <w:highlight w:val="none"/>
        </w:rPr>
        <w:t>（9）营业执照复印件及法定代表人授权委托书、法定代表人身份证复印件、委托代理人身份证复印件。</w:t>
      </w:r>
    </w:p>
    <w:p w14:paraId="061EEA3D">
      <w:pPr>
        <w:tabs>
          <w:tab w:val="left" w:pos="900"/>
        </w:tabs>
        <w:ind w:firstLine="480"/>
        <w:jc w:val="left"/>
        <w:rPr>
          <w:rFonts w:ascii="宋体" w:hAnsi="宋体" w:cs="宋体"/>
          <w:color w:val="auto"/>
          <w:highlight w:val="none"/>
        </w:rPr>
      </w:pPr>
      <w:r>
        <w:rPr>
          <w:rFonts w:hint="eastAsia" w:ascii="宋体" w:hAnsi="宋体" w:cs="宋体"/>
          <w:color w:val="auto"/>
          <w:highlight w:val="none"/>
        </w:rPr>
        <w:t>供应商为自然人的，应当由本人签字；供应商为法人或者其他组织的，应当由法定代表人、主要负责人，或者其委托代理人签字或者盖章，并加盖单位公章。</w:t>
      </w:r>
    </w:p>
    <w:p w14:paraId="579D56C8">
      <w:pPr>
        <w:tabs>
          <w:tab w:val="left" w:pos="900"/>
        </w:tabs>
        <w:ind w:firstLine="480"/>
        <w:jc w:val="left"/>
        <w:rPr>
          <w:rFonts w:ascii="宋体" w:hAnsi="宋体" w:cs="宋体"/>
          <w:color w:val="auto"/>
          <w:highlight w:val="none"/>
        </w:rPr>
      </w:pPr>
      <w:r>
        <w:rPr>
          <w:rFonts w:hint="eastAsia" w:ascii="宋体" w:hAnsi="宋体" w:cs="宋体"/>
          <w:color w:val="auto"/>
          <w:highlight w:val="none"/>
        </w:rPr>
        <w:t>2.质疑函的受理和答复</w:t>
      </w:r>
    </w:p>
    <w:p w14:paraId="02BCC403">
      <w:pPr>
        <w:tabs>
          <w:tab w:val="left" w:pos="900"/>
        </w:tabs>
        <w:ind w:firstLine="480"/>
        <w:jc w:val="left"/>
        <w:rPr>
          <w:rFonts w:ascii="宋体" w:hAnsi="宋体" w:cs="宋体"/>
          <w:color w:val="auto"/>
          <w:highlight w:val="none"/>
        </w:rPr>
      </w:pPr>
      <w:r>
        <w:rPr>
          <w:rFonts w:hint="eastAsia" w:ascii="宋体" w:hAnsi="宋体" w:cs="宋体"/>
          <w:color w:val="auto"/>
          <w:highlight w:val="none"/>
        </w:rPr>
        <w:t>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7BECBE38">
      <w:pPr>
        <w:tabs>
          <w:tab w:val="left" w:pos="900"/>
        </w:tabs>
        <w:ind w:firstLine="480"/>
        <w:jc w:val="left"/>
        <w:rPr>
          <w:rFonts w:ascii="宋体" w:hAnsi="宋体" w:cs="宋体"/>
          <w:color w:val="auto"/>
          <w:highlight w:val="none"/>
        </w:rPr>
      </w:pPr>
      <w:r>
        <w:rPr>
          <w:rFonts w:hint="eastAsia" w:ascii="宋体" w:hAnsi="宋体" w:cs="宋体"/>
          <w:color w:val="auto"/>
          <w:highlight w:val="none"/>
        </w:rPr>
        <w:t>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16473ED">
      <w:pPr>
        <w:tabs>
          <w:tab w:val="left" w:pos="900"/>
        </w:tabs>
        <w:ind w:firstLine="480"/>
        <w:jc w:val="left"/>
        <w:rPr>
          <w:rFonts w:ascii="宋体" w:hAnsi="宋体" w:cs="宋体"/>
          <w:color w:val="auto"/>
          <w:highlight w:val="none"/>
        </w:rPr>
      </w:pPr>
      <w:r>
        <w:rPr>
          <w:rFonts w:hint="eastAsia" w:ascii="宋体" w:hAnsi="宋体" w:cs="宋体"/>
          <w:color w:val="auto"/>
          <w:highlight w:val="none"/>
        </w:rPr>
        <w:t>2.3 对不符合质疑要求的，采购人、采购代理机构有权要求其补充必要的证明材料，质疑供应商未在法定的时间内提供补充必要的证明材料的，视同放弃质疑。</w:t>
      </w:r>
    </w:p>
    <w:p w14:paraId="0F0FE82B">
      <w:pPr>
        <w:tabs>
          <w:tab w:val="left" w:pos="900"/>
        </w:tabs>
        <w:ind w:firstLine="480"/>
        <w:jc w:val="left"/>
        <w:rPr>
          <w:rFonts w:ascii="宋体" w:hAnsi="宋体" w:cs="宋体"/>
          <w:color w:val="auto"/>
          <w:highlight w:val="none"/>
        </w:rPr>
      </w:pPr>
      <w:r>
        <w:rPr>
          <w:rFonts w:hint="eastAsia" w:ascii="宋体" w:hAnsi="宋体" w:cs="宋体"/>
          <w:color w:val="auto"/>
          <w:highlight w:val="none"/>
        </w:rPr>
        <w:t>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3ADCAC31">
      <w:pPr>
        <w:tabs>
          <w:tab w:val="left" w:pos="900"/>
        </w:tabs>
        <w:ind w:firstLine="480"/>
        <w:jc w:val="left"/>
        <w:rPr>
          <w:rFonts w:ascii="宋体" w:hAnsi="宋体" w:cs="宋体"/>
          <w:color w:val="auto"/>
          <w:highlight w:val="none"/>
        </w:rPr>
      </w:pPr>
      <w:r>
        <w:rPr>
          <w:rFonts w:hint="eastAsia" w:ascii="宋体" w:hAnsi="宋体" w:cs="宋体"/>
          <w:color w:val="auto"/>
          <w:highlight w:val="none"/>
        </w:rPr>
        <w:t>3.质疑处理</w:t>
      </w:r>
    </w:p>
    <w:p w14:paraId="36761A11">
      <w:pPr>
        <w:tabs>
          <w:tab w:val="left" w:pos="900"/>
        </w:tabs>
        <w:ind w:firstLine="480"/>
        <w:jc w:val="left"/>
        <w:rPr>
          <w:rFonts w:ascii="宋体" w:hAnsi="宋体" w:cs="宋体"/>
          <w:color w:val="auto"/>
          <w:highlight w:val="none"/>
        </w:rPr>
      </w:pPr>
      <w:r>
        <w:rPr>
          <w:rFonts w:hint="eastAsia" w:ascii="宋体" w:hAnsi="宋体" w:cs="宋体"/>
          <w:color w:val="auto"/>
          <w:highlight w:val="none"/>
        </w:rPr>
        <w:t>3.1 质疑供应商不按照法定程序进行质疑投诉的，视为一般失信行为。</w:t>
      </w:r>
    </w:p>
    <w:p w14:paraId="69ECB9DF">
      <w:pPr>
        <w:tabs>
          <w:tab w:val="left" w:pos="900"/>
        </w:tabs>
        <w:ind w:firstLine="480"/>
        <w:jc w:val="left"/>
        <w:rPr>
          <w:rFonts w:ascii="宋体" w:hAnsi="宋体" w:cs="宋体"/>
          <w:color w:val="auto"/>
          <w:highlight w:val="none"/>
        </w:rPr>
      </w:pPr>
      <w:r>
        <w:rPr>
          <w:rFonts w:hint="eastAsia" w:ascii="宋体" w:hAnsi="宋体" w:cs="宋体"/>
          <w:color w:val="auto"/>
          <w:highlight w:val="none"/>
        </w:rPr>
        <w:t>3.2 质疑供应商不配合或者采用不正当手段干扰政府采购质疑、投诉处理工作的，视为一般失信行为。</w:t>
      </w:r>
    </w:p>
    <w:p w14:paraId="1B75336B">
      <w:pPr>
        <w:tabs>
          <w:tab w:val="left" w:pos="900"/>
        </w:tabs>
        <w:ind w:firstLine="480"/>
        <w:jc w:val="left"/>
        <w:rPr>
          <w:rFonts w:ascii="宋体" w:hAnsi="宋体" w:cs="宋体"/>
          <w:color w:val="auto"/>
          <w:highlight w:val="none"/>
        </w:rPr>
      </w:pPr>
      <w:r>
        <w:rPr>
          <w:rFonts w:hint="eastAsia" w:ascii="宋体" w:hAnsi="宋体" w:cs="宋体"/>
          <w:color w:val="auto"/>
          <w:highlight w:val="none"/>
        </w:rPr>
        <w:t>3.3 质疑供应商投诉受理期间，就同一事项多头举报，干扰财政部门投诉处理的，视为一般失信行为。</w:t>
      </w:r>
    </w:p>
    <w:p w14:paraId="5062E131">
      <w:pPr>
        <w:tabs>
          <w:tab w:val="left" w:pos="900"/>
        </w:tabs>
        <w:ind w:firstLine="480"/>
        <w:jc w:val="left"/>
        <w:rPr>
          <w:rFonts w:ascii="宋体" w:hAnsi="宋体" w:cs="宋体"/>
          <w:color w:val="auto"/>
          <w:highlight w:val="none"/>
        </w:rPr>
      </w:pPr>
      <w:r>
        <w:rPr>
          <w:rFonts w:hint="eastAsia" w:ascii="宋体" w:hAnsi="宋体" w:cs="宋体"/>
          <w:color w:val="auto"/>
          <w:highlight w:val="none"/>
        </w:rPr>
        <w:t>3.4 质疑供应商在全国范围12个月内三次以上质疑查无实据的，视为一般失信行为。</w:t>
      </w:r>
    </w:p>
    <w:p w14:paraId="0ABCDA86">
      <w:pPr>
        <w:tabs>
          <w:tab w:val="left" w:pos="900"/>
        </w:tabs>
        <w:ind w:firstLine="480"/>
        <w:jc w:val="left"/>
        <w:rPr>
          <w:rFonts w:ascii="宋体" w:hAnsi="宋体" w:cs="宋体"/>
          <w:color w:val="auto"/>
          <w:highlight w:val="none"/>
        </w:rPr>
      </w:pPr>
      <w:r>
        <w:rPr>
          <w:rFonts w:hint="eastAsia" w:ascii="宋体" w:hAnsi="宋体" w:cs="宋体"/>
          <w:color w:val="auto"/>
          <w:highlight w:val="none"/>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2DF3AC17">
      <w:pPr>
        <w:tabs>
          <w:tab w:val="left" w:pos="900"/>
        </w:tabs>
        <w:ind w:firstLine="480"/>
        <w:jc w:val="left"/>
        <w:rPr>
          <w:rFonts w:ascii="宋体" w:hAnsi="宋体" w:cs="宋体"/>
          <w:color w:val="auto"/>
          <w:highlight w:val="none"/>
        </w:rPr>
      </w:pPr>
      <w:r>
        <w:rPr>
          <w:rFonts w:hint="eastAsia" w:ascii="宋体" w:hAnsi="宋体" w:cs="宋体"/>
          <w:color w:val="auto"/>
          <w:highlight w:val="none"/>
        </w:rPr>
        <w:t>3.6 未尽事宜，依照有关法律、法规执行。</w:t>
      </w:r>
    </w:p>
    <w:p w14:paraId="04E9F6AB">
      <w:pPr>
        <w:tabs>
          <w:tab w:val="left" w:pos="900"/>
        </w:tabs>
        <w:ind w:firstLine="480"/>
        <w:jc w:val="left"/>
        <w:rPr>
          <w:rFonts w:ascii="宋体" w:hAnsi="宋体" w:cs="宋体"/>
          <w:color w:val="auto"/>
          <w:highlight w:val="none"/>
        </w:rPr>
      </w:pPr>
      <w:r>
        <w:rPr>
          <w:rFonts w:hint="eastAsia" w:ascii="宋体" w:hAnsi="宋体" w:cs="宋体"/>
          <w:color w:val="auto"/>
          <w:highlight w:val="none"/>
        </w:rPr>
        <w:t>4.投诉</w:t>
      </w:r>
    </w:p>
    <w:p w14:paraId="2B89F1F2">
      <w:pPr>
        <w:tabs>
          <w:tab w:val="left" w:pos="900"/>
        </w:tabs>
        <w:ind w:firstLine="480"/>
        <w:jc w:val="left"/>
        <w:rPr>
          <w:rFonts w:ascii="宋体" w:hAnsi="宋体" w:cs="宋体"/>
          <w:color w:val="auto"/>
          <w:highlight w:val="none"/>
        </w:rPr>
        <w:sectPr>
          <w:footerReference r:id="rId9" w:type="first"/>
          <w:footerReference r:id="rId8" w:type="default"/>
          <w:pgSz w:w="11907" w:h="16840" w:orient="landscape"/>
          <w:pgMar w:top="1440" w:right="1080" w:bottom="1440" w:left="1080" w:header="737" w:footer="737" w:gutter="0"/>
          <w:pgNumType w:start="1"/>
          <w:cols w:space="1701" w:num="1"/>
          <w:titlePg/>
        </w:sectPr>
      </w:pPr>
      <w:r>
        <w:rPr>
          <w:rFonts w:hint="eastAsia" w:ascii="宋体" w:hAnsi="宋体" w:cs="宋体"/>
          <w:color w:val="auto"/>
          <w:highlight w:val="none"/>
        </w:rPr>
        <w:t>投诉事项依照有关法律、法规执行。</w:t>
      </w:r>
    </w:p>
    <w:p w14:paraId="0FEE2B1F">
      <w:pPr>
        <w:ind w:firstLine="0"/>
        <w:jc w:val="center"/>
        <w:outlineLvl w:val="0"/>
        <w:rPr>
          <w:rFonts w:ascii="宋体" w:hAnsi="宋体" w:cs="宋体"/>
          <w:b/>
          <w:bCs/>
          <w:color w:val="auto"/>
          <w:sz w:val="44"/>
          <w:szCs w:val="44"/>
          <w:highlight w:val="none"/>
        </w:rPr>
      </w:pPr>
      <w:bookmarkStart w:id="74" w:name="_Toc11750"/>
      <w:bookmarkStart w:id="75" w:name="_Toc15346"/>
      <w:r>
        <w:rPr>
          <w:rFonts w:hint="eastAsia" w:ascii="宋体" w:hAnsi="宋体" w:cs="宋体"/>
          <w:b/>
          <w:bCs/>
          <w:color w:val="auto"/>
          <w:sz w:val="44"/>
          <w:szCs w:val="44"/>
          <w:highlight w:val="none"/>
        </w:rPr>
        <w:t>第三章  政府采购合同格式</w:t>
      </w:r>
      <w:bookmarkEnd w:id="13"/>
      <w:bookmarkEnd w:id="14"/>
      <w:bookmarkEnd w:id="15"/>
      <w:bookmarkEnd w:id="16"/>
      <w:bookmarkEnd w:id="74"/>
      <w:bookmarkEnd w:id="75"/>
    </w:p>
    <w:p w14:paraId="72E25271">
      <w:pPr>
        <w:pStyle w:val="230"/>
        <w:ind w:firstLine="0"/>
        <w:jc w:val="center"/>
        <w:rPr>
          <w:rFonts w:hAnsi="宋体" w:cs="宋体"/>
          <w:b/>
          <w:bCs/>
          <w:color w:val="auto"/>
          <w:sz w:val="24"/>
          <w:szCs w:val="24"/>
          <w:highlight w:val="none"/>
        </w:rPr>
      </w:pPr>
    </w:p>
    <w:p w14:paraId="54166C3A">
      <w:pPr>
        <w:pStyle w:val="230"/>
        <w:ind w:firstLine="0"/>
        <w:jc w:val="center"/>
        <w:rPr>
          <w:rFonts w:hAnsi="宋体" w:cs="宋体"/>
          <w:b/>
          <w:bCs/>
          <w:color w:val="auto"/>
          <w:sz w:val="24"/>
          <w:szCs w:val="24"/>
          <w:highlight w:val="none"/>
        </w:rPr>
      </w:pPr>
    </w:p>
    <w:p w14:paraId="152BE139">
      <w:pPr>
        <w:pStyle w:val="230"/>
        <w:ind w:firstLine="0"/>
        <w:jc w:val="center"/>
        <w:rPr>
          <w:rFonts w:hAnsi="宋体" w:cs="宋体"/>
          <w:b/>
          <w:bCs/>
          <w:color w:val="auto"/>
          <w:sz w:val="24"/>
          <w:szCs w:val="24"/>
          <w:highlight w:val="none"/>
        </w:rPr>
      </w:pPr>
    </w:p>
    <w:p w14:paraId="707CE52B">
      <w:pPr>
        <w:pStyle w:val="230"/>
        <w:ind w:firstLine="0"/>
        <w:jc w:val="center"/>
        <w:rPr>
          <w:rFonts w:hAnsi="宋体" w:cs="宋体"/>
          <w:b/>
          <w:bCs/>
          <w:color w:val="auto"/>
          <w:sz w:val="44"/>
          <w:szCs w:val="44"/>
          <w:highlight w:val="none"/>
        </w:rPr>
      </w:pPr>
      <w:r>
        <w:rPr>
          <w:rFonts w:hint="eastAsia" w:hAnsi="宋体" w:cs="宋体"/>
          <w:b/>
          <w:bCs/>
          <w:color w:val="auto"/>
          <w:sz w:val="44"/>
          <w:szCs w:val="44"/>
          <w:highlight w:val="none"/>
        </w:rPr>
        <w:t>东 海 县 政 府 采 购</w:t>
      </w:r>
    </w:p>
    <w:p w14:paraId="65B482CC">
      <w:pPr>
        <w:pStyle w:val="230"/>
        <w:ind w:firstLine="0"/>
        <w:jc w:val="center"/>
        <w:rPr>
          <w:rFonts w:hAnsi="宋体" w:cs="宋体"/>
          <w:b/>
          <w:bCs/>
          <w:color w:val="auto"/>
          <w:sz w:val="24"/>
          <w:szCs w:val="24"/>
          <w:highlight w:val="none"/>
        </w:rPr>
      </w:pPr>
    </w:p>
    <w:p w14:paraId="0AB9FD12">
      <w:pPr>
        <w:pStyle w:val="230"/>
        <w:ind w:firstLine="0"/>
        <w:jc w:val="center"/>
        <w:rPr>
          <w:rFonts w:hAnsi="宋体" w:cs="宋体"/>
          <w:b/>
          <w:bCs/>
          <w:color w:val="auto"/>
          <w:sz w:val="32"/>
          <w:szCs w:val="32"/>
          <w:highlight w:val="none"/>
          <w:u w:val="single"/>
        </w:rPr>
      </w:pPr>
    </w:p>
    <w:p w14:paraId="2B2ED817">
      <w:pPr>
        <w:pStyle w:val="230"/>
        <w:ind w:firstLine="0"/>
        <w:jc w:val="center"/>
        <w:rPr>
          <w:rFonts w:hAnsi="宋体" w:cs="宋体"/>
          <w:b/>
          <w:bCs/>
          <w:color w:val="auto"/>
          <w:sz w:val="32"/>
          <w:szCs w:val="32"/>
          <w:highlight w:val="none"/>
        </w:rPr>
      </w:pPr>
      <w:r>
        <w:rPr>
          <w:rFonts w:hint="eastAsia" w:hAnsi="宋体" w:cs="宋体"/>
          <w:b/>
          <w:bCs/>
          <w:color w:val="auto"/>
          <w:sz w:val="32"/>
          <w:szCs w:val="32"/>
          <w:highlight w:val="none"/>
          <w:u w:val="single"/>
        </w:rPr>
        <w:t xml:space="preserve">                 </w:t>
      </w:r>
      <w:r>
        <w:rPr>
          <w:rFonts w:hint="eastAsia" w:hAnsi="宋体" w:cs="宋体"/>
          <w:b/>
          <w:bCs/>
          <w:color w:val="auto"/>
          <w:sz w:val="32"/>
          <w:szCs w:val="32"/>
          <w:highlight w:val="none"/>
        </w:rPr>
        <w:t>合同</w:t>
      </w:r>
    </w:p>
    <w:p w14:paraId="7E9B1EAA">
      <w:pPr>
        <w:pStyle w:val="230"/>
        <w:ind w:firstLine="0"/>
        <w:jc w:val="center"/>
        <w:rPr>
          <w:rFonts w:hAnsi="宋体" w:cs="宋体"/>
          <w:b/>
          <w:bCs/>
          <w:color w:val="auto"/>
          <w:sz w:val="24"/>
          <w:szCs w:val="24"/>
          <w:highlight w:val="none"/>
        </w:rPr>
      </w:pPr>
    </w:p>
    <w:p w14:paraId="74C0F74B">
      <w:pPr>
        <w:pStyle w:val="230"/>
        <w:ind w:firstLine="0"/>
        <w:jc w:val="center"/>
        <w:rPr>
          <w:rFonts w:hAnsi="宋体" w:cs="宋体"/>
          <w:b/>
          <w:bCs/>
          <w:color w:val="auto"/>
          <w:sz w:val="32"/>
          <w:szCs w:val="32"/>
          <w:highlight w:val="none"/>
        </w:rPr>
      </w:pPr>
    </w:p>
    <w:p w14:paraId="157377DD">
      <w:pPr>
        <w:pStyle w:val="230"/>
        <w:ind w:firstLine="0"/>
        <w:jc w:val="center"/>
        <w:rPr>
          <w:rFonts w:hAnsi="宋体" w:cs="宋体"/>
          <w:b/>
          <w:bCs/>
          <w:color w:val="auto"/>
          <w:sz w:val="32"/>
          <w:szCs w:val="32"/>
          <w:highlight w:val="none"/>
        </w:rPr>
      </w:pPr>
      <w:r>
        <w:rPr>
          <w:rFonts w:hint="eastAsia" w:hAnsi="宋体" w:cs="宋体"/>
          <w:b/>
          <w:bCs/>
          <w:color w:val="auto"/>
          <w:sz w:val="32"/>
          <w:szCs w:val="32"/>
          <w:highlight w:val="none"/>
        </w:rPr>
        <w:t>合同编号：</w:t>
      </w:r>
    </w:p>
    <w:p w14:paraId="7F1A8257">
      <w:pPr>
        <w:pStyle w:val="230"/>
        <w:ind w:firstLine="0"/>
        <w:jc w:val="center"/>
        <w:rPr>
          <w:rFonts w:hAnsi="宋体" w:cs="宋体"/>
          <w:b/>
          <w:bCs/>
          <w:color w:val="auto"/>
          <w:sz w:val="24"/>
          <w:szCs w:val="24"/>
          <w:highlight w:val="none"/>
        </w:rPr>
      </w:pPr>
    </w:p>
    <w:p w14:paraId="7C3ADC5D">
      <w:pPr>
        <w:pStyle w:val="230"/>
        <w:ind w:firstLine="0"/>
        <w:jc w:val="center"/>
        <w:rPr>
          <w:rFonts w:hAnsi="宋体" w:cs="宋体"/>
          <w:b/>
          <w:bCs/>
          <w:color w:val="auto"/>
          <w:sz w:val="24"/>
          <w:szCs w:val="24"/>
          <w:highlight w:val="none"/>
        </w:rPr>
      </w:pPr>
    </w:p>
    <w:p w14:paraId="54AD8714">
      <w:pPr>
        <w:pStyle w:val="230"/>
        <w:ind w:firstLine="0"/>
        <w:jc w:val="center"/>
        <w:rPr>
          <w:rFonts w:hAnsi="宋体" w:cs="宋体"/>
          <w:b/>
          <w:bCs/>
          <w:color w:val="auto"/>
          <w:sz w:val="24"/>
          <w:szCs w:val="24"/>
          <w:highlight w:val="none"/>
        </w:rPr>
      </w:pPr>
    </w:p>
    <w:p w14:paraId="5158CEF1">
      <w:pPr>
        <w:pStyle w:val="230"/>
        <w:ind w:firstLine="0"/>
        <w:jc w:val="center"/>
        <w:rPr>
          <w:rFonts w:hAnsi="宋体" w:cs="宋体"/>
          <w:b/>
          <w:bCs/>
          <w:color w:val="auto"/>
          <w:sz w:val="24"/>
          <w:szCs w:val="24"/>
          <w:highlight w:val="none"/>
        </w:rPr>
      </w:pPr>
    </w:p>
    <w:p w14:paraId="7A5C7B12">
      <w:pPr>
        <w:pStyle w:val="230"/>
        <w:ind w:firstLine="0"/>
        <w:jc w:val="center"/>
        <w:rPr>
          <w:rFonts w:hAnsi="宋体" w:cs="宋体"/>
          <w:b/>
          <w:bCs/>
          <w:color w:val="auto"/>
          <w:sz w:val="24"/>
          <w:szCs w:val="24"/>
          <w:highlight w:val="none"/>
        </w:rPr>
      </w:pPr>
    </w:p>
    <w:p w14:paraId="1EF3047C">
      <w:pPr>
        <w:pStyle w:val="230"/>
        <w:ind w:firstLine="0"/>
        <w:jc w:val="center"/>
        <w:rPr>
          <w:rFonts w:hAnsi="宋体" w:cs="宋体"/>
          <w:b/>
          <w:bCs/>
          <w:color w:val="auto"/>
          <w:sz w:val="24"/>
          <w:szCs w:val="24"/>
          <w:highlight w:val="none"/>
        </w:rPr>
      </w:pPr>
    </w:p>
    <w:p w14:paraId="53BE3C89">
      <w:pPr>
        <w:pStyle w:val="230"/>
        <w:ind w:firstLine="0"/>
        <w:jc w:val="center"/>
        <w:rPr>
          <w:rFonts w:hAnsi="宋体" w:cs="宋体"/>
          <w:b/>
          <w:bCs/>
          <w:color w:val="auto"/>
          <w:sz w:val="24"/>
          <w:szCs w:val="24"/>
          <w:highlight w:val="none"/>
        </w:rPr>
      </w:pPr>
    </w:p>
    <w:p w14:paraId="6C1B8B41">
      <w:pPr>
        <w:pStyle w:val="230"/>
        <w:ind w:firstLine="0"/>
        <w:jc w:val="center"/>
        <w:rPr>
          <w:rFonts w:hAnsi="宋体" w:cs="宋体"/>
          <w:b/>
          <w:bCs/>
          <w:color w:val="auto"/>
          <w:sz w:val="24"/>
          <w:szCs w:val="24"/>
          <w:highlight w:val="none"/>
        </w:rPr>
      </w:pPr>
    </w:p>
    <w:p w14:paraId="43DF7AAE">
      <w:pPr>
        <w:pStyle w:val="230"/>
        <w:ind w:firstLine="0"/>
        <w:jc w:val="center"/>
        <w:rPr>
          <w:rFonts w:hAnsi="宋体" w:cs="宋体"/>
          <w:b/>
          <w:bCs/>
          <w:color w:val="auto"/>
          <w:sz w:val="24"/>
          <w:szCs w:val="24"/>
          <w:highlight w:val="none"/>
        </w:rPr>
      </w:pPr>
    </w:p>
    <w:p w14:paraId="3A8A978D">
      <w:pPr>
        <w:pStyle w:val="230"/>
        <w:ind w:firstLine="0"/>
        <w:jc w:val="center"/>
        <w:rPr>
          <w:rFonts w:hAnsi="宋体" w:cs="宋体"/>
          <w:b/>
          <w:bCs/>
          <w:color w:val="auto"/>
          <w:sz w:val="24"/>
          <w:szCs w:val="24"/>
          <w:highlight w:val="none"/>
        </w:rPr>
      </w:pPr>
    </w:p>
    <w:p w14:paraId="018BDE33">
      <w:pPr>
        <w:pStyle w:val="230"/>
        <w:ind w:firstLine="964"/>
        <w:rPr>
          <w:rFonts w:hAnsi="宋体" w:cs="宋体"/>
          <w:b/>
          <w:bCs/>
          <w:color w:val="auto"/>
          <w:sz w:val="32"/>
          <w:szCs w:val="32"/>
          <w:highlight w:val="none"/>
        </w:rPr>
      </w:pPr>
      <w:r>
        <w:rPr>
          <w:rFonts w:hint="eastAsia" w:hAnsi="宋体" w:cs="宋体"/>
          <w:b/>
          <w:bCs/>
          <w:color w:val="auto"/>
          <w:sz w:val="32"/>
          <w:szCs w:val="32"/>
          <w:highlight w:val="none"/>
        </w:rPr>
        <w:t>采  购  人：</w:t>
      </w:r>
    </w:p>
    <w:p w14:paraId="7E25CBD3">
      <w:pPr>
        <w:pStyle w:val="230"/>
        <w:ind w:firstLine="964"/>
        <w:rPr>
          <w:rFonts w:hAnsi="宋体" w:cs="宋体"/>
          <w:b/>
          <w:bCs/>
          <w:color w:val="auto"/>
          <w:sz w:val="32"/>
          <w:szCs w:val="32"/>
          <w:highlight w:val="none"/>
        </w:rPr>
      </w:pPr>
      <w:r>
        <w:rPr>
          <w:rFonts w:hint="eastAsia" w:hAnsi="宋体" w:cs="宋体"/>
          <w:b/>
          <w:bCs/>
          <w:color w:val="auto"/>
          <w:sz w:val="32"/>
          <w:szCs w:val="32"/>
          <w:highlight w:val="none"/>
        </w:rPr>
        <w:t>成交供应商：</w:t>
      </w:r>
    </w:p>
    <w:p w14:paraId="3A98E7D6">
      <w:pPr>
        <w:pStyle w:val="230"/>
        <w:ind w:firstLine="0"/>
        <w:jc w:val="center"/>
        <w:rPr>
          <w:rFonts w:hAnsi="宋体" w:cs="宋体"/>
          <w:b/>
          <w:bCs/>
          <w:color w:val="auto"/>
          <w:sz w:val="24"/>
          <w:szCs w:val="24"/>
          <w:highlight w:val="none"/>
        </w:rPr>
      </w:pPr>
    </w:p>
    <w:p w14:paraId="3BC9CDD2">
      <w:pPr>
        <w:pStyle w:val="230"/>
        <w:ind w:firstLine="0"/>
        <w:jc w:val="center"/>
        <w:rPr>
          <w:rFonts w:hAnsi="宋体" w:cs="宋体"/>
          <w:b/>
          <w:bCs/>
          <w:color w:val="auto"/>
          <w:sz w:val="24"/>
          <w:szCs w:val="24"/>
          <w:highlight w:val="none"/>
        </w:rPr>
      </w:pPr>
    </w:p>
    <w:p w14:paraId="4D1773E0">
      <w:pPr>
        <w:pStyle w:val="230"/>
        <w:ind w:firstLine="0"/>
        <w:jc w:val="center"/>
        <w:rPr>
          <w:rFonts w:hAnsi="宋体" w:cs="宋体"/>
          <w:b/>
          <w:bCs/>
          <w:color w:val="auto"/>
          <w:sz w:val="24"/>
          <w:szCs w:val="24"/>
          <w:highlight w:val="none"/>
        </w:rPr>
      </w:pPr>
    </w:p>
    <w:p w14:paraId="45E4B2FB">
      <w:pPr>
        <w:pStyle w:val="194"/>
        <w:spacing w:line="360" w:lineRule="auto"/>
        <w:jc w:val="center"/>
        <w:rPr>
          <w:rFonts w:hint="default" w:ascii="宋体" w:hAnsi="宋体" w:eastAsia="宋体" w:cs="宋体"/>
          <w:b/>
          <w:bCs/>
          <w:color w:val="auto"/>
          <w:sz w:val="32"/>
          <w:szCs w:val="32"/>
          <w:highlight w:val="none"/>
        </w:rPr>
      </w:pPr>
      <w:bookmarkStart w:id="76" w:name="OLE_LINK6"/>
      <w:bookmarkStart w:id="77" w:name="_Toc142708870"/>
      <w:bookmarkStart w:id="78" w:name="_Toc153678433"/>
      <w:bookmarkStart w:id="79" w:name="_Toc31605"/>
      <w:bookmarkStart w:id="80" w:name="_Toc18837"/>
      <w:bookmarkStart w:id="81" w:name="_Toc515874991"/>
      <w:bookmarkStart w:id="82" w:name="_Toc224532088"/>
      <w:r>
        <w:rPr>
          <w:rFonts w:ascii="宋体" w:hAnsi="宋体" w:eastAsia="宋体" w:cs="宋体"/>
          <w:b/>
          <w:bCs/>
          <w:color w:val="auto"/>
          <w:sz w:val="32"/>
          <w:szCs w:val="32"/>
          <w:highlight w:val="none"/>
        </w:rPr>
        <w:t>合同格式</w:t>
      </w:r>
    </w:p>
    <w:p w14:paraId="1CF336A8">
      <w:pPr>
        <w:pStyle w:val="194"/>
        <w:ind w:firstLine="480"/>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lang w:val="zh-TW" w:eastAsia="zh-TW"/>
        </w:rPr>
        <w:t>本合同格式为参考格式，最终以采购人与中标单位签订的合同为准。</w:t>
      </w:r>
    </w:p>
    <w:p w14:paraId="4B22F3AD">
      <w:pPr>
        <w:ind w:firstLine="0"/>
        <w:jc w:val="center"/>
        <w:rPr>
          <w:rFonts w:hint="default" w:ascii="宋体" w:hAnsi="宋体" w:eastAsia="宋体" w:cs="宋体"/>
          <w:color w:val="auto"/>
          <w:sz w:val="24"/>
          <w:szCs w:val="24"/>
          <w:highlight w:val="none"/>
        </w:rPr>
      </w:pPr>
      <w:bookmarkStart w:id="83" w:name="_Hlk8904893"/>
      <w:r>
        <w:rPr>
          <w:rFonts w:hint="eastAsia" w:ascii="宋体" w:hAnsi="宋体" w:cs="宋体"/>
          <w:color w:val="auto"/>
          <w:highlight w:val="none"/>
          <w:lang w:val="zh-TW" w:eastAsia="zh-CN"/>
        </w:rPr>
        <w:t>东海县驼峰乡清扫保洁外包项目</w:t>
      </w:r>
      <w:r>
        <w:rPr>
          <w:rFonts w:hint="eastAsia" w:ascii="宋体" w:hAnsi="宋体" w:cs="宋体"/>
          <w:color w:val="auto"/>
          <w:highlight w:val="none"/>
          <w:lang w:val="zh-TW" w:eastAsia="zh-TW"/>
        </w:rPr>
        <w:t>合同</w:t>
      </w:r>
      <w:bookmarkEnd w:id="83"/>
      <w:bookmarkStart w:id="84" w:name="_Toc20075"/>
    </w:p>
    <w:p w14:paraId="2E948989">
      <w:pPr>
        <w:widowControl w:val="0"/>
        <w:spacing w:after="0" w:line="560" w:lineRule="exact"/>
        <w:ind w:firstLine="480"/>
        <w:jc w:val="left"/>
        <w:rPr>
          <w:rFonts w:ascii="宋体" w:hAnsi="宋体" w:eastAsia="宋体" w:cs="Times New Roman"/>
          <w:bCs/>
          <w:color w:val="auto"/>
          <w:sz w:val="24"/>
          <w:szCs w:val="24"/>
          <w:highlight w:val="none"/>
          <w:lang w:val="en-US" w:eastAsia="zh-CN" w:bidi="ar-SA"/>
          <w14:ligatures w14:val="none"/>
        </w:rPr>
      </w:pPr>
      <w:r>
        <w:rPr>
          <w:rFonts w:ascii="宋体" w:hAnsi="宋体" w:eastAsia="宋体" w:cs="Times New Roman"/>
          <w:color w:val="auto"/>
          <w:sz w:val="24"/>
          <w:szCs w:val="24"/>
          <w:highlight w:val="none"/>
          <w:lang w:val="en-US" w:eastAsia="zh-CN" w:bidi="ar-SA"/>
          <w14:ligatures w14:val="none"/>
        </w:rPr>
        <w:t>甲方</w:t>
      </w:r>
      <w:r>
        <w:rPr>
          <w:rFonts w:hint="eastAsia" w:ascii="宋体" w:hAnsi="宋体" w:cs="Times New Roman"/>
          <w:color w:val="auto"/>
          <w:sz w:val="24"/>
          <w:szCs w:val="24"/>
          <w:highlight w:val="none"/>
          <w:lang w:val="en-US" w:eastAsia="zh-CN" w:bidi="ar-SA"/>
          <w14:ligatures w14:val="none"/>
        </w:rPr>
        <w:t>（采购人）</w:t>
      </w:r>
      <w:r>
        <w:rPr>
          <w:rFonts w:ascii="宋体" w:hAnsi="宋体" w:eastAsia="宋体" w:cs="Times New Roman"/>
          <w:color w:val="auto"/>
          <w:sz w:val="24"/>
          <w:szCs w:val="24"/>
          <w:highlight w:val="none"/>
          <w:lang w:val="en-US" w:eastAsia="zh-CN" w:bidi="ar-SA"/>
          <w14:ligatures w14:val="none"/>
        </w:rPr>
        <w:t>：</w:t>
      </w:r>
      <w:r>
        <w:rPr>
          <w:rFonts w:hint="eastAsia" w:ascii="宋体" w:hAnsi="宋体" w:cs="Times New Roman"/>
          <w:bCs/>
          <w:color w:val="auto"/>
          <w:sz w:val="24"/>
          <w:szCs w:val="24"/>
          <w:highlight w:val="none"/>
          <w:lang w:val="en-US" w:eastAsia="zh-CN" w:bidi="ar-SA"/>
          <w14:ligatures w14:val="none"/>
        </w:rPr>
        <w:t>东海县驼峰乡人民政府</w:t>
      </w:r>
    </w:p>
    <w:p w14:paraId="02F95DF5">
      <w:pPr>
        <w:widowControl w:val="0"/>
        <w:spacing w:after="0" w:line="560" w:lineRule="exact"/>
        <w:ind w:firstLine="480"/>
        <w:jc w:val="left"/>
        <w:rPr>
          <w:rFonts w:ascii="宋体" w:hAnsi="宋体" w:eastAsia="宋体" w:cs="Times New Roman"/>
          <w:bCs/>
          <w:color w:val="auto"/>
          <w:sz w:val="24"/>
          <w:szCs w:val="24"/>
          <w:highlight w:val="none"/>
          <w:lang w:val="en-US" w:eastAsia="zh-CN" w:bidi="ar-SA"/>
          <w14:ligatures w14:val="none"/>
        </w:rPr>
      </w:pPr>
      <w:r>
        <w:rPr>
          <w:rFonts w:ascii="宋体" w:hAnsi="宋体" w:eastAsia="宋体" w:cs="Times New Roman"/>
          <w:bCs/>
          <w:color w:val="auto"/>
          <w:sz w:val="24"/>
          <w:szCs w:val="24"/>
          <w:highlight w:val="none"/>
          <w:lang w:val="en-US" w:eastAsia="zh-CN" w:bidi="ar-SA"/>
          <w14:ligatures w14:val="none"/>
        </w:rPr>
        <w:t>乙方</w:t>
      </w:r>
      <w:r>
        <w:rPr>
          <w:rFonts w:hint="eastAsia" w:ascii="宋体" w:hAnsi="宋体" w:cs="Times New Roman"/>
          <w:bCs/>
          <w:color w:val="auto"/>
          <w:sz w:val="24"/>
          <w:szCs w:val="24"/>
          <w:highlight w:val="none"/>
          <w:lang w:val="en-US" w:eastAsia="zh-CN" w:bidi="ar-SA"/>
          <w14:ligatures w14:val="none"/>
        </w:rPr>
        <w:t>（成交供应商）</w:t>
      </w:r>
      <w:r>
        <w:rPr>
          <w:rFonts w:ascii="宋体" w:hAnsi="宋体" w:eastAsia="宋体" w:cs="Times New Roman"/>
          <w:bCs/>
          <w:color w:val="auto"/>
          <w:sz w:val="24"/>
          <w:szCs w:val="24"/>
          <w:highlight w:val="none"/>
          <w:lang w:val="en-US" w:eastAsia="zh-CN" w:bidi="ar-SA"/>
          <w14:ligatures w14:val="none"/>
        </w:rPr>
        <w:t>：</w:t>
      </w:r>
    </w:p>
    <w:p w14:paraId="74166A1C">
      <w:pPr>
        <w:widowControl w:val="0"/>
        <w:spacing w:after="0" w:line="560" w:lineRule="exact"/>
        <w:ind w:firstLine="482"/>
        <w:jc w:val="left"/>
        <w:rPr>
          <w:rFonts w:ascii="宋体" w:hAnsi="宋体" w:eastAsia="宋体" w:cs="Times New Roman"/>
          <w:b w:val="0"/>
          <w:bCs/>
          <w:color w:val="auto"/>
          <w:sz w:val="24"/>
          <w:szCs w:val="24"/>
          <w:highlight w:val="none"/>
          <w:lang w:val="en-US" w:eastAsia="zh-CN" w:bidi="ar-SA"/>
          <w14:ligatures w14:val="none"/>
        </w:rPr>
      </w:pPr>
      <w:r>
        <w:rPr>
          <w:rFonts w:hint="eastAsia" w:ascii="宋体" w:hAnsi="宋体" w:eastAsia="宋体" w:cs="Times New Roman"/>
          <w:b w:val="0"/>
          <w:bCs/>
          <w:color w:val="auto"/>
          <w:sz w:val="24"/>
          <w:szCs w:val="24"/>
          <w:highlight w:val="none"/>
          <w:lang w:val="en-US" w:eastAsia="zh-CN" w:bidi="ar-SA"/>
          <w14:ligatures w14:val="none"/>
        </w:rPr>
        <w:t>东海县驼峰乡清扫保洁外包项目，包含但不限于驼峰新区、老区街道道路保洁、洒水降尘、道路洗扫、垃圾转运;党委院内、派出所院内、曹浦新村、老区农贸市场、公共厕所保洁，垃圾中转站日常运营、绿化修剪等服务</w:t>
      </w:r>
      <w:r>
        <w:rPr>
          <w:rFonts w:hint="eastAsia" w:ascii="宋体" w:hAnsi="宋体" w:cs="Times New Roman"/>
          <w:b w:val="0"/>
          <w:bCs/>
          <w:color w:val="auto"/>
          <w:sz w:val="24"/>
          <w:szCs w:val="24"/>
          <w:highlight w:val="none"/>
          <w:lang w:val="en-US" w:eastAsia="zh-CN" w:bidi="ar-SA"/>
          <w14:ligatures w14:val="none"/>
        </w:rPr>
        <w:t>。</w:t>
      </w:r>
    </w:p>
    <w:p w14:paraId="505C5932">
      <w:pPr>
        <w:spacing w:after="0" w:line="360" w:lineRule="auto"/>
        <w:ind w:firstLine="0"/>
        <w:rPr>
          <w:rFonts w:hint="eastAsia" w:ascii="宋体" w:hAnsi="宋体" w:cs="宋体"/>
          <w:b/>
          <w:bCs/>
          <w:color w:val="auto"/>
          <w:sz w:val="24"/>
          <w:highlight w:val="none"/>
          <w14:ligatures w14:val="none"/>
        </w:rPr>
      </w:pPr>
    </w:p>
    <w:p w14:paraId="7C80FD5C">
      <w:pPr>
        <w:spacing w:after="0" w:line="360" w:lineRule="auto"/>
        <w:ind w:firstLine="0"/>
        <w:rPr>
          <w:rFonts w:hint="default" w:ascii="宋体" w:hAnsi="宋体" w:eastAsia="宋体" w:cs="宋体"/>
          <w:b/>
          <w:bCs/>
          <w:color w:val="auto"/>
          <w:sz w:val="24"/>
          <w:highlight w:val="none"/>
          <w14:ligatures w14:val="none"/>
        </w:rPr>
      </w:pPr>
      <w:r>
        <w:rPr>
          <w:rFonts w:hint="eastAsia" w:ascii="宋体" w:hAnsi="宋体" w:cs="宋体"/>
          <w:b/>
          <w:bCs/>
          <w:color w:val="auto"/>
          <w:sz w:val="24"/>
          <w:highlight w:val="none"/>
          <w14:ligatures w14:val="none"/>
        </w:rPr>
        <w:t xml:space="preserve"> </w:t>
      </w:r>
      <w:r>
        <w:rPr>
          <w:rFonts w:hint="eastAsia" w:ascii="宋体" w:hAnsi="宋体" w:eastAsia="宋体" w:cs="宋体"/>
          <w:b/>
          <w:bCs/>
          <w:color w:val="auto"/>
          <w:sz w:val="24"/>
          <w:highlight w:val="none"/>
          <w14:ligatures w14:val="none"/>
        </w:rPr>
        <w:t>第一条  承包范围</w:t>
      </w:r>
    </w:p>
    <w:p w14:paraId="6C3ABC54">
      <w:pPr>
        <w:spacing w:after="0" w:line="360" w:lineRule="auto"/>
        <w:ind w:left="0"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lang w:val="en-US" w:eastAsia="zh-CN"/>
          <w14:ligatures w14:val="none"/>
        </w:rPr>
        <w:t>1.</w:t>
      </w:r>
      <w:r>
        <w:rPr>
          <w:rFonts w:hint="eastAsia" w:ascii="宋体" w:hAnsi="宋体" w:eastAsia="宋体" w:cs="宋体"/>
          <w:b/>
          <w:bCs/>
          <w:color w:val="auto"/>
          <w:sz w:val="24"/>
          <w:highlight w:val="none"/>
          <w14:ligatures w14:val="none"/>
        </w:rPr>
        <w:t>镇区</w:t>
      </w:r>
      <w:r>
        <w:rPr>
          <w:rFonts w:hint="eastAsia" w:ascii="宋体" w:hAnsi="宋体" w:eastAsia="宋体" w:cs="宋体"/>
          <w:b/>
          <w:bCs/>
          <w:color w:val="auto"/>
          <w:sz w:val="24"/>
          <w:highlight w:val="none"/>
          <w:lang w:val="en-US" w:eastAsia="zh-CN"/>
          <w14:ligatures w14:val="none"/>
        </w:rPr>
        <w:t>道路</w:t>
      </w:r>
      <w:r>
        <w:rPr>
          <w:rFonts w:hint="eastAsia" w:ascii="宋体" w:hAnsi="宋体" w:eastAsia="宋体" w:cs="宋体"/>
          <w:b/>
          <w:bCs/>
          <w:color w:val="auto"/>
          <w:sz w:val="24"/>
          <w:highlight w:val="none"/>
          <w14:ligatures w14:val="none"/>
        </w:rPr>
        <w:t>卫生保洁</w:t>
      </w:r>
      <w:r>
        <w:rPr>
          <w:rFonts w:hint="eastAsia" w:ascii="宋体" w:hAnsi="宋体" w:eastAsia="宋体" w:cs="宋体"/>
          <w:b/>
          <w:bCs/>
          <w:color w:val="auto"/>
          <w:sz w:val="24"/>
          <w:highlight w:val="none"/>
          <w:lang w:val="en-US" w:eastAsia="zh-CN"/>
          <w14:ligatures w14:val="none"/>
        </w:rPr>
        <w:t>范围</w:t>
      </w:r>
      <w:r>
        <w:rPr>
          <w:rFonts w:hint="eastAsia" w:ascii="宋体" w:hAnsi="宋体" w:eastAsia="宋体" w:cs="宋体"/>
          <w:b/>
          <w:bCs/>
          <w:color w:val="auto"/>
          <w:sz w:val="24"/>
          <w:highlight w:val="none"/>
          <w14:ligatures w14:val="none"/>
        </w:rPr>
        <w:t>和生活垃圾清运</w:t>
      </w:r>
    </w:p>
    <w:p w14:paraId="75A8C469">
      <w:pPr>
        <w:spacing w:after="0" w:line="360" w:lineRule="auto"/>
        <w:ind w:firstLine="482"/>
        <w:rPr>
          <w:rFonts w:hint="eastAsia" w:ascii="宋体" w:hAnsi="宋体" w:eastAsia="宋体" w:cs="宋体"/>
          <w:b/>
          <w:bCs/>
          <w:color w:val="auto"/>
          <w:sz w:val="24"/>
          <w:highlight w:val="none"/>
          <w:lang w:eastAsia="zh-CN"/>
          <w14:ligatures w14:val="none"/>
        </w:rPr>
      </w:pPr>
      <w:r>
        <w:rPr>
          <w:rFonts w:hint="eastAsia" w:ascii="宋体" w:hAnsi="宋体" w:eastAsia="宋体" w:cs="宋体"/>
          <w:b/>
          <w:bCs/>
          <w:color w:val="auto"/>
          <w:sz w:val="24"/>
          <w:highlight w:val="none"/>
          <w:lang w:val="en-US" w:eastAsia="zh-CN"/>
          <w14:ligatures w14:val="none"/>
        </w:rPr>
        <w:t>1-1</w:t>
      </w:r>
      <w:r>
        <w:rPr>
          <w:rFonts w:hint="eastAsia" w:ascii="宋体" w:hAnsi="宋体" w:eastAsia="宋体" w:cs="宋体"/>
          <w:b/>
          <w:bCs/>
          <w:color w:val="auto"/>
          <w:sz w:val="24"/>
          <w:highlight w:val="none"/>
          <w14:ligatures w14:val="none"/>
        </w:rPr>
        <w:t>新区服务范围</w:t>
      </w:r>
      <w:r>
        <w:rPr>
          <w:rFonts w:hint="eastAsia" w:ascii="宋体" w:hAnsi="宋体" w:eastAsia="宋体" w:cs="宋体"/>
          <w:b/>
          <w:bCs/>
          <w:color w:val="auto"/>
          <w:sz w:val="24"/>
          <w:highlight w:val="none"/>
          <w:lang w:eastAsia="zh-CN"/>
          <w14:ligatures w14:val="none"/>
        </w:rPr>
        <w:t>：</w:t>
      </w:r>
    </w:p>
    <w:p w14:paraId="23CBCF48">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（1）</w:t>
      </w:r>
      <w:r>
        <w:rPr>
          <w:rFonts w:hint="eastAsia" w:ascii="宋体" w:hAnsi="宋体" w:eastAsia="宋体" w:cs="宋体"/>
          <w:b w:val="0"/>
          <w:bCs w:val="0"/>
          <w:color w:val="auto"/>
          <w:sz w:val="24"/>
          <w:highlight w:val="none"/>
          <w14:ligatures w14:val="none"/>
        </w:rPr>
        <w:t>浦湾路：南至老垃圾站包括公厕，北至富民路口约1150米；</w:t>
      </w:r>
    </w:p>
    <w:p w14:paraId="5DE43B05">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（2）</w:t>
      </w:r>
      <w:r>
        <w:rPr>
          <w:rFonts w:hint="eastAsia" w:ascii="宋体" w:hAnsi="宋体" w:eastAsia="宋体" w:cs="宋体"/>
          <w:b w:val="0"/>
          <w:bCs w:val="0"/>
          <w:color w:val="auto"/>
          <w:sz w:val="24"/>
          <w:highlight w:val="none"/>
          <w14:ligatures w14:val="none"/>
        </w:rPr>
        <w:t>远东路：南至311国道，北至驼南路约1400米；</w:t>
      </w:r>
    </w:p>
    <w:p w14:paraId="7E55EB49">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（3）</w:t>
      </w:r>
      <w:r>
        <w:rPr>
          <w:rFonts w:hint="eastAsia" w:ascii="宋体" w:hAnsi="宋体" w:eastAsia="宋体" w:cs="宋体"/>
          <w:b w:val="0"/>
          <w:bCs w:val="0"/>
          <w:color w:val="auto"/>
          <w:sz w:val="24"/>
          <w:highlight w:val="none"/>
          <w14:ligatures w14:val="none"/>
        </w:rPr>
        <w:t>金陵路：南至311国道，北至富民路约980米；</w:t>
      </w:r>
    </w:p>
    <w:p w14:paraId="26AB8BF8">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eastAsia="zh-CN"/>
          <w14:ligatures w14:val="none"/>
        </w:rPr>
        <w:t>（</w:t>
      </w:r>
      <w:r>
        <w:rPr>
          <w:rFonts w:hint="eastAsia" w:ascii="宋体" w:hAnsi="宋体" w:eastAsia="宋体" w:cs="宋体"/>
          <w:b w:val="0"/>
          <w:bCs w:val="0"/>
          <w:color w:val="auto"/>
          <w:sz w:val="24"/>
          <w:highlight w:val="none"/>
          <w:lang w:val="en-US" w:eastAsia="zh-CN"/>
          <w14:ligatures w14:val="none"/>
        </w:rPr>
        <w:t>4</w:t>
      </w:r>
      <w:r>
        <w:rPr>
          <w:rFonts w:hint="eastAsia" w:ascii="宋体" w:hAnsi="宋体" w:eastAsia="宋体" w:cs="宋体"/>
          <w:b w:val="0"/>
          <w:bCs w:val="0"/>
          <w:color w:val="auto"/>
          <w:sz w:val="24"/>
          <w:highlight w:val="none"/>
          <w:lang w:eastAsia="zh-CN"/>
          <w14:ligatures w14:val="none"/>
        </w:rPr>
        <w:t>）</w:t>
      </w:r>
      <w:r>
        <w:rPr>
          <w:rFonts w:hint="eastAsia" w:ascii="宋体" w:hAnsi="宋体" w:eastAsia="宋体" w:cs="宋体"/>
          <w:b w:val="0"/>
          <w:bCs w:val="0"/>
          <w:color w:val="auto"/>
          <w:sz w:val="24"/>
          <w:highlight w:val="none"/>
          <w14:ligatures w14:val="none"/>
        </w:rPr>
        <w:t>阳光路：南至311国道,北至百怡路约260米；</w:t>
      </w:r>
    </w:p>
    <w:p w14:paraId="5ED03185">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（5）</w:t>
      </w:r>
      <w:r>
        <w:rPr>
          <w:rFonts w:hint="eastAsia" w:ascii="宋体" w:hAnsi="宋体" w:eastAsia="宋体" w:cs="宋体"/>
          <w:b w:val="0"/>
          <w:bCs w:val="0"/>
          <w:color w:val="auto"/>
          <w:sz w:val="24"/>
          <w:highlight w:val="none"/>
          <w14:ligatures w14:val="none"/>
        </w:rPr>
        <w:t>百怡路：西至236省道，东至远东路约1500米；</w:t>
      </w:r>
    </w:p>
    <w:p w14:paraId="1DCDDB0F">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（6）</w:t>
      </w:r>
      <w:r>
        <w:rPr>
          <w:rFonts w:hint="eastAsia" w:ascii="宋体" w:hAnsi="宋体" w:eastAsia="宋体" w:cs="宋体"/>
          <w:b w:val="0"/>
          <w:bCs w:val="0"/>
          <w:color w:val="auto"/>
          <w:sz w:val="24"/>
          <w:highlight w:val="none"/>
          <w14:ligatures w14:val="none"/>
        </w:rPr>
        <w:t>富民路：西至236省道，东至远东路约1500米；</w:t>
      </w:r>
    </w:p>
    <w:p w14:paraId="53276579">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（7）</w:t>
      </w:r>
      <w:r>
        <w:rPr>
          <w:rFonts w:hint="eastAsia" w:ascii="宋体" w:hAnsi="宋体" w:eastAsia="宋体" w:cs="宋体"/>
          <w:b w:val="0"/>
          <w:bCs w:val="0"/>
          <w:color w:val="auto"/>
          <w:sz w:val="24"/>
          <w:highlight w:val="none"/>
          <w14:ligatures w14:val="none"/>
        </w:rPr>
        <w:t>311国道南辅路：西至木材店，东至光达石英厂墙西约1300米；</w:t>
      </w:r>
    </w:p>
    <w:p w14:paraId="2D2B0428">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（8）</w:t>
      </w:r>
      <w:r>
        <w:rPr>
          <w:rFonts w:hint="eastAsia" w:ascii="宋体" w:hAnsi="宋体" w:eastAsia="宋体" w:cs="宋体"/>
          <w:b w:val="0"/>
          <w:bCs w:val="0"/>
          <w:color w:val="auto"/>
          <w:sz w:val="24"/>
          <w:highlight w:val="none"/>
          <w14:ligatures w14:val="none"/>
        </w:rPr>
        <w:t>311国道北辅路：西至汽车城，东至远东路约1800米；</w:t>
      </w:r>
    </w:p>
    <w:p w14:paraId="67B17EB4">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（9）</w:t>
      </w:r>
      <w:r>
        <w:rPr>
          <w:rFonts w:hint="eastAsia" w:ascii="宋体" w:hAnsi="宋体" w:eastAsia="宋体" w:cs="宋体"/>
          <w:b w:val="0"/>
          <w:bCs w:val="0"/>
          <w:color w:val="auto"/>
          <w:sz w:val="24"/>
          <w:highlight w:val="none"/>
          <w14:ligatures w14:val="none"/>
        </w:rPr>
        <w:t>曹浦新村：占地约71300平方米，包括一个公厕；</w:t>
      </w:r>
    </w:p>
    <w:p w14:paraId="30F5CD94">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（10）</w:t>
      </w:r>
      <w:r>
        <w:rPr>
          <w:rFonts w:hint="eastAsia" w:ascii="宋体" w:hAnsi="宋体" w:eastAsia="宋体" w:cs="宋体"/>
          <w:b w:val="0"/>
          <w:bCs w:val="0"/>
          <w:color w:val="auto"/>
          <w:sz w:val="24"/>
          <w:highlight w:val="none"/>
          <w14:ligatures w14:val="none"/>
        </w:rPr>
        <w:t>驼南路：西至浦湾路，东至驼南桥南约1100米；</w:t>
      </w:r>
    </w:p>
    <w:p w14:paraId="7E8CFB26">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（11）</w:t>
      </w:r>
      <w:r>
        <w:rPr>
          <w:rFonts w:hint="eastAsia" w:ascii="宋体" w:hAnsi="宋体" w:eastAsia="宋体" w:cs="宋体"/>
          <w:b w:val="0"/>
          <w:bCs w:val="0"/>
          <w:color w:val="auto"/>
          <w:sz w:val="24"/>
          <w:highlight w:val="none"/>
          <w14:ligatures w14:val="none"/>
        </w:rPr>
        <w:t>新区垃圾中转站。</w:t>
      </w:r>
    </w:p>
    <w:p w14:paraId="50075F57">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lang w:val="en-US" w:eastAsia="zh-CN"/>
          <w14:ligatures w14:val="none"/>
        </w:rPr>
        <w:t>（12）</w:t>
      </w:r>
      <w:r>
        <w:rPr>
          <w:rFonts w:hint="eastAsia" w:ascii="宋体" w:hAnsi="宋体" w:eastAsia="宋体" w:cs="宋体"/>
          <w:b w:val="0"/>
          <w:bCs w:val="0"/>
          <w:color w:val="auto"/>
          <w:sz w:val="24"/>
          <w:highlight w:val="none"/>
          <w14:ligatures w14:val="none"/>
        </w:rPr>
        <w:t>绿化管护：党委院内、曹浦新村内、远东路范围内绿化修剪管护，每年（主要集中在6、7、8、9、10、11月）不少于3次。</w:t>
      </w:r>
    </w:p>
    <w:p w14:paraId="30F340CD">
      <w:pPr>
        <w:spacing w:after="0" w:line="360" w:lineRule="auto"/>
        <w:ind w:left="0" w:firstLine="482"/>
        <w:rPr>
          <w:rFonts w:hint="eastAsia"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lang w:val="en-US" w:eastAsia="zh-CN"/>
          <w14:ligatures w14:val="none"/>
        </w:rPr>
        <w:t>1-2</w:t>
      </w:r>
      <w:r>
        <w:rPr>
          <w:rFonts w:hint="eastAsia" w:ascii="宋体" w:hAnsi="宋体" w:eastAsia="宋体" w:cs="宋体"/>
          <w:b/>
          <w:bCs/>
          <w:color w:val="auto"/>
          <w:sz w:val="24"/>
          <w:highlight w:val="none"/>
          <w14:ligatures w14:val="none"/>
        </w:rPr>
        <w:t>老区服务范围</w:t>
      </w:r>
    </w:p>
    <w:p w14:paraId="5929C695">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14:ligatures w14:val="none"/>
        </w:rPr>
        <w:t>（</w:t>
      </w:r>
      <w:r>
        <w:rPr>
          <w:rFonts w:hint="eastAsia" w:ascii="宋体" w:hAnsi="宋体" w:eastAsia="宋体" w:cs="宋体"/>
          <w:b w:val="0"/>
          <w:bCs w:val="0"/>
          <w:color w:val="auto"/>
          <w:sz w:val="24"/>
          <w:highlight w:val="none"/>
          <w:lang w:val="en-US" w:eastAsia="zh-CN"/>
          <w14:ligatures w14:val="none"/>
        </w:rPr>
        <w:t>1</w:t>
      </w:r>
      <w:r>
        <w:rPr>
          <w:rFonts w:hint="eastAsia" w:ascii="宋体" w:hAnsi="宋体" w:eastAsia="宋体" w:cs="宋体"/>
          <w:b w:val="0"/>
          <w:bCs w:val="0"/>
          <w:color w:val="auto"/>
          <w:sz w:val="24"/>
          <w:highlight w:val="none"/>
          <w14:ligatures w14:val="none"/>
        </w:rPr>
        <w:t>）浦湾路：南至粮管所，北至上湾村南约3000米；</w:t>
      </w:r>
    </w:p>
    <w:p w14:paraId="618455C6">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14:ligatures w14:val="none"/>
        </w:rPr>
        <w:t>（</w:t>
      </w:r>
      <w:r>
        <w:rPr>
          <w:rFonts w:hint="eastAsia" w:ascii="宋体" w:hAnsi="宋体" w:eastAsia="宋体" w:cs="宋体"/>
          <w:b w:val="0"/>
          <w:bCs w:val="0"/>
          <w:color w:val="auto"/>
          <w:sz w:val="24"/>
          <w:highlight w:val="none"/>
          <w:lang w:val="en-US" w:eastAsia="zh-CN"/>
          <w14:ligatures w14:val="none"/>
        </w:rPr>
        <w:t>2</w:t>
      </w:r>
      <w:r>
        <w:rPr>
          <w:rFonts w:hint="eastAsia" w:ascii="宋体" w:hAnsi="宋体" w:eastAsia="宋体" w:cs="宋体"/>
          <w:b w:val="0"/>
          <w:bCs w:val="0"/>
          <w:color w:val="auto"/>
          <w:sz w:val="24"/>
          <w:highlight w:val="none"/>
          <w14:ligatures w14:val="none"/>
        </w:rPr>
        <w:t>）王洪路：西至236省道，东至早塘村部约2000米；</w:t>
      </w:r>
    </w:p>
    <w:p w14:paraId="3A079A22">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14:ligatures w14:val="none"/>
        </w:rPr>
        <w:t>（</w:t>
      </w:r>
      <w:r>
        <w:rPr>
          <w:rFonts w:hint="eastAsia" w:ascii="宋体" w:hAnsi="宋体" w:eastAsia="宋体" w:cs="宋体"/>
          <w:b w:val="0"/>
          <w:bCs w:val="0"/>
          <w:color w:val="auto"/>
          <w:sz w:val="24"/>
          <w:highlight w:val="none"/>
          <w:lang w:val="en-US" w:eastAsia="zh-CN"/>
          <w14:ligatures w14:val="none"/>
        </w:rPr>
        <w:t>3</w:t>
      </w:r>
      <w:r>
        <w:rPr>
          <w:rFonts w:hint="eastAsia" w:ascii="宋体" w:hAnsi="宋体" w:eastAsia="宋体" w:cs="宋体"/>
          <w:b w:val="0"/>
          <w:bCs w:val="0"/>
          <w:color w:val="auto"/>
          <w:sz w:val="24"/>
          <w:highlight w:val="none"/>
          <w14:ligatures w14:val="none"/>
        </w:rPr>
        <w:t>）农贸市场：占地约约18000平方米，包括公厕；</w:t>
      </w:r>
    </w:p>
    <w:p w14:paraId="7D47739A">
      <w:pPr>
        <w:spacing w:after="0" w:line="360" w:lineRule="auto"/>
        <w:ind w:left="0" w:firstLine="0"/>
        <w:rPr>
          <w:rFonts w:hint="eastAsia" w:ascii="宋体" w:hAnsi="宋体" w:eastAsia="宋体" w:cs="宋体"/>
          <w:b w:val="0"/>
          <w:bCs w:val="0"/>
          <w:color w:val="auto"/>
          <w:sz w:val="24"/>
          <w:highlight w:val="none"/>
          <w14:ligatures w14:val="none"/>
        </w:rPr>
      </w:pPr>
      <w:r>
        <w:rPr>
          <w:rFonts w:hint="eastAsia" w:ascii="宋体" w:hAnsi="宋体" w:eastAsia="宋体" w:cs="宋体"/>
          <w:b w:val="0"/>
          <w:bCs w:val="0"/>
          <w:color w:val="auto"/>
          <w:sz w:val="24"/>
          <w:highlight w:val="none"/>
          <w14:ligatures w14:val="none"/>
        </w:rPr>
        <w:t>（</w:t>
      </w:r>
      <w:r>
        <w:rPr>
          <w:rFonts w:hint="eastAsia" w:ascii="宋体" w:hAnsi="宋体" w:eastAsia="宋体" w:cs="宋体"/>
          <w:b w:val="0"/>
          <w:bCs w:val="0"/>
          <w:color w:val="auto"/>
          <w:sz w:val="24"/>
          <w:highlight w:val="none"/>
          <w:lang w:val="en-US" w:eastAsia="zh-CN"/>
          <w14:ligatures w14:val="none"/>
        </w:rPr>
        <w:t>4</w:t>
      </w:r>
      <w:r>
        <w:rPr>
          <w:rFonts w:hint="eastAsia" w:ascii="宋体" w:hAnsi="宋体" w:eastAsia="宋体" w:cs="宋体"/>
          <w:b w:val="0"/>
          <w:bCs w:val="0"/>
          <w:color w:val="auto"/>
          <w:sz w:val="24"/>
          <w:highlight w:val="none"/>
          <w14:ligatures w14:val="none"/>
        </w:rPr>
        <w:t>）老区垃圾中转站。</w:t>
      </w:r>
    </w:p>
    <w:p w14:paraId="57A35CF2">
      <w:pPr>
        <w:widowControl w:val="0"/>
        <w:spacing w:after="0" w:line="360" w:lineRule="auto"/>
        <w:ind w:firstLine="482"/>
        <w:jc w:val="both"/>
        <w:rPr>
          <w:rFonts w:ascii="宋体" w:hAnsi="宋体" w:eastAsia="宋体" w:cs="宋体"/>
          <w:b/>
          <w:bCs/>
          <w:color w:val="auto"/>
          <w:sz w:val="24"/>
          <w:szCs w:val="24"/>
          <w:highlight w:val="none"/>
          <w:lang w:val="en-US" w:eastAsia="zh-CN" w:bidi="ar-SA"/>
          <w14:ligatures w14:val="none"/>
        </w:rPr>
      </w:pPr>
      <w:r>
        <w:rPr>
          <w:rFonts w:hint="eastAsia" w:ascii="宋体" w:hAnsi="宋体" w:eastAsia="宋体" w:cs="宋体"/>
          <w:b/>
          <w:bCs/>
          <w:color w:val="auto"/>
          <w:sz w:val="24"/>
          <w:szCs w:val="24"/>
          <w:highlight w:val="none"/>
          <w:lang w:val="en-US" w:eastAsia="zh-CN" w:bidi="ar-SA"/>
          <w14:ligatures w14:val="none"/>
        </w:rPr>
        <w:t>2.垃圾清运</w:t>
      </w:r>
    </w:p>
    <w:p w14:paraId="527E14C8">
      <w:pPr>
        <w:widowControl w:val="0"/>
        <w:spacing w:after="0" w:line="360" w:lineRule="auto"/>
        <w:ind w:firstLine="480"/>
        <w:jc w:val="both"/>
        <w:rPr>
          <w:rFonts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2-1镇区道路保洁范围内安置的垃圾桶、垃圾箱转运至甲方指定垃圾站（新区一座、老区一座、后蔷薇一座）；</w:t>
      </w:r>
    </w:p>
    <w:p w14:paraId="247EF863">
      <w:pPr>
        <w:keepNext w:val="0"/>
        <w:keepLines w:val="0"/>
        <w:pageBreakBefore w:val="0"/>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lang w:val="en-US" w:eastAsia="zh-CN"/>
          <w14:ligatures w14:val="none"/>
        </w:rPr>
        <w:t>3.</w:t>
      </w:r>
      <w:r>
        <w:rPr>
          <w:rFonts w:hint="eastAsia" w:ascii="宋体" w:hAnsi="宋体" w:eastAsia="宋体" w:cs="宋体"/>
          <w:b/>
          <w:bCs/>
          <w:color w:val="auto"/>
          <w:sz w:val="24"/>
          <w:highlight w:val="none"/>
          <w14:ligatures w14:val="none"/>
        </w:rPr>
        <w:t>机械设备使用</w:t>
      </w:r>
    </w:p>
    <w:p w14:paraId="18F455B8">
      <w:pPr>
        <w:keepNext w:val="0"/>
        <w:keepLines w:val="0"/>
        <w:pageBreakBefore w:val="0"/>
        <w:widowControl/>
        <w:spacing w:line="360" w:lineRule="auto"/>
        <w:ind w:firstLine="480"/>
        <w:rPr>
          <w:rFonts w:hint="eastAsia" w:ascii="宋体" w:hAnsi="宋体" w:eastAsia="宋体" w:cs="宋体"/>
          <w:color w:val="auto"/>
          <w:sz w:val="24"/>
          <w:highlight w:val="none"/>
          <w:lang w:val="en-US" w:eastAsia="zh-CN"/>
          <w14:ligatures w14:val="none"/>
        </w:rPr>
      </w:pPr>
      <w:r>
        <w:rPr>
          <w:rFonts w:hint="eastAsia" w:ascii="宋体" w:hAnsi="宋体" w:eastAsia="宋体" w:cs="宋体"/>
          <w:color w:val="auto"/>
          <w:sz w:val="24"/>
          <w:highlight w:val="none"/>
          <w14:ligatures w14:val="none"/>
        </w:rPr>
        <w:t>乙方自行配备压缩式垃圾转运车</w:t>
      </w:r>
      <w:r>
        <w:rPr>
          <w:rFonts w:hint="eastAsia" w:ascii="宋体" w:hAnsi="宋体" w:eastAsia="宋体" w:cs="宋体"/>
          <w:color w:val="auto"/>
          <w:sz w:val="24"/>
          <w:highlight w:val="none"/>
          <w:lang w:val="en-US" w:eastAsia="zh-CN"/>
          <w14:ligatures w14:val="none"/>
        </w:rPr>
        <w:t>1</w:t>
      </w:r>
      <w:r>
        <w:rPr>
          <w:rFonts w:hint="eastAsia" w:ascii="宋体" w:hAnsi="宋体" w:eastAsia="宋体" w:cs="宋体"/>
          <w:color w:val="auto"/>
          <w:sz w:val="24"/>
          <w:highlight w:val="none"/>
          <w14:ligatures w14:val="none"/>
        </w:rPr>
        <w:t>辆</w:t>
      </w:r>
      <w:r>
        <w:rPr>
          <w:rFonts w:hint="eastAsia" w:ascii="宋体" w:hAnsi="宋体" w:eastAsia="宋体" w:cs="宋体"/>
          <w:color w:val="auto"/>
          <w:sz w:val="24"/>
          <w:highlight w:val="none"/>
          <w:lang w:eastAsia="zh-CN"/>
          <w14:ligatures w14:val="none"/>
        </w:rPr>
        <w:t>、</w:t>
      </w:r>
      <w:r>
        <w:rPr>
          <w:rFonts w:hint="eastAsia" w:ascii="宋体" w:hAnsi="宋体" w:eastAsia="宋体" w:cs="宋体"/>
          <w:color w:val="auto"/>
          <w:sz w:val="24"/>
          <w:highlight w:val="none"/>
          <w:lang w:val="en-US" w:eastAsia="zh-CN"/>
          <w14:ligatures w14:val="none"/>
        </w:rPr>
        <w:t>道路洗扫车1辆、勾臂垃圾车1辆，车辆所有权属于乙方所有。乙方负责日常维护（含维修、保养、油料及保险等费用由乙方自理）。甲方现有的洒水降尘车1辆、垃圾桶120只、勾臂车铁箱8只、平移式垃圾中转站3座（平移式垃圾转运箱3只、垂直是压缩机1座（老区）供乙方调配使用，设备所有权属甲方。合同到期后完好归还甲方，其它保洁工具由乙方自行配备，费用自理。垃圾压缩设备发现故障及时向甲方报告，垃圾压缩设备的维修由甲方负责。</w:t>
      </w:r>
    </w:p>
    <w:p w14:paraId="2204AABF">
      <w:pPr>
        <w:spacing w:after="0" w:line="360" w:lineRule="auto"/>
        <w:ind w:left="0"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第二条  保洁要求及考核标准（详情见附件）:</w:t>
      </w:r>
    </w:p>
    <w:p w14:paraId="1A199B6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一、甲方发包给乙方管理服务事项：</w:t>
      </w:r>
    </w:p>
    <w:p w14:paraId="4DF2147C">
      <w:pPr>
        <w:keepNext w:val="0"/>
        <w:keepLines w:val="0"/>
        <w:pageBreakBefore w:val="0"/>
        <w:widowControl/>
        <w:spacing w:line="360" w:lineRule="auto"/>
        <w:ind w:firstLine="480"/>
        <w:rPr>
          <w:rFonts w:hint="eastAsia" w:ascii="宋体" w:hAnsi="宋体" w:eastAsia="宋体" w:cs="宋体"/>
          <w:color w:val="auto"/>
          <w:sz w:val="24"/>
          <w:highlight w:val="none"/>
          <w:lang w:val="en-US" w:eastAsia="zh-CN"/>
          <w14:ligatures w14:val="none"/>
        </w:rPr>
      </w:pPr>
      <w:r>
        <w:rPr>
          <w:rFonts w:hint="eastAsia" w:ascii="宋体" w:hAnsi="宋体" w:eastAsia="宋体" w:cs="宋体"/>
          <w:color w:val="auto"/>
          <w:sz w:val="24"/>
          <w:highlight w:val="none"/>
          <w:lang w:val="en-US" w:eastAsia="zh-CN"/>
          <w14:ligatures w14:val="none"/>
        </w:rPr>
        <w:t>党委院内、远东路、浦湾路、百怡路、311省道洒水2次/日；即，上午8点前，下午2点前完成洒水降尘作业；（冰冻天气除外），浦湾路至老区道路每周不低于2次冲洗；党委院内、远东路、浦湾路、百怡路道路洗扫每周1次（需避开交通高峰）。</w:t>
      </w:r>
    </w:p>
    <w:p w14:paraId="224BBCFA">
      <w:pPr>
        <w:keepNext w:val="0"/>
        <w:keepLines w:val="0"/>
        <w:pageBreakBefore w:val="0"/>
        <w:widowControl/>
        <w:spacing w:line="360" w:lineRule="auto"/>
        <w:ind w:firstLine="480"/>
        <w:rPr>
          <w:rFonts w:hint="eastAsia" w:ascii="宋体" w:hAnsi="宋体" w:eastAsia="宋体" w:cs="宋体"/>
          <w:color w:val="auto"/>
          <w:sz w:val="24"/>
          <w:highlight w:val="none"/>
          <w:lang w:val="en-US" w:eastAsia="zh-CN"/>
          <w14:ligatures w14:val="none"/>
        </w:rPr>
      </w:pPr>
      <w:r>
        <w:rPr>
          <w:rFonts w:hint="eastAsia" w:ascii="宋体" w:hAnsi="宋体" w:eastAsia="宋体" w:cs="宋体"/>
          <w:color w:val="auto"/>
          <w:sz w:val="24"/>
          <w:highlight w:val="none"/>
          <w:lang w:val="en-US" w:eastAsia="zh-CN"/>
          <w14:ligatures w14:val="none"/>
        </w:rPr>
        <w:t>人工保洁：对机械无法作业的区域（如人行道、背街小巷、树穴、绿化带边缘）进行精细化清扫。及时清除路面零散垃圾、痰迹、油污、小广告等。</w:t>
      </w:r>
    </w:p>
    <w:p w14:paraId="2971C973">
      <w:pPr>
        <w:keepNext w:val="0"/>
        <w:keepLines w:val="0"/>
        <w:pageBreakBefore w:val="0"/>
        <w:widowControl/>
        <w:spacing w:line="360" w:lineRule="auto"/>
        <w:ind w:firstLine="480"/>
        <w:rPr>
          <w:rFonts w:hint="eastAsia" w:ascii="宋体" w:hAnsi="宋体" w:eastAsia="宋体" w:cs="宋体"/>
          <w:color w:val="auto"/>
          <w:sz w:val="24"/>
          <w:highlight w:val="none"/>
          <w:lang w:val="en-US" w:eastAsia="zh-CN"/>
          <w14:ligatures w14:val="none"/>
        </w:rPr>
      </w:pPr>
      <w:r>
        <w:rPr>
          <w:rFonts w:hint="eastAsia" w:ascii="宋体" w:hAnsi="宋体" w:eastAsia="宋体" w:cs="宋体"/>
          <w:color w:val="auto"/>
          <w:sz w:val="24"/>
          <w:highlight w:val="none"/>
          <w:lang w:val="en-US" w:eastAsia="zh-CN"/>
          <w14:ligatures w14:val="none"/>
        </w:rPr>
        <w:t>巡回保洁：在重点路段和时段安排保洁员进行不间断巡回保洁，确保垃圾落地时间不超过 35分钟。</w:t>
      </w:r>
    </w:p>
    <w:p w14:paraId="4E3AB162">
      <w:pPr>
        <w:keepNext w:val="0"/>
        <w:keepLines w:val="0"/>
        <w:widowControl/>
        <w:suppressLineNumbers w:val="0"/>
        <w:spacing w:before="0" w:beforeAutospacing="0" w:after="0" w:afterAutospacing="0" w:line="360" w:lineRule="auto"/>
        <w:ind w:left="0" w:right="0" w:firstLine="802"/>
        <w:jc w:val="left"/>
        <w:rPr>
          <w:rFonts w:hint="default"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作业标准；即：商铺至路牙石上午8点前完成普扫作业，辅路捡拾；工作8小时制（上午6:00至11：00下午14:00-17:00）。</w:t>
      </w:r>
    </w:p>
    <w:p w14:paraId="56A21DB0">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二、保洁要求：</w:t>
      </w:r>
    </w:p>
    <w:p w14:paraId="109AF6D4">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1、乙方对</w:t>
      </w:r>
      <w:r>
        <w:rPr>
          <w:rFonts w:hint="eastAsia" w:ascii="宋体" w:hAnsi="宋体" w:eastAsia="宋体" w:cs="宋体"/>
          <w:color w:val="auto"/>
          <w:sz w:val="24"/>
          <w:highlight w:val="none"/>
          <w:lang w:val="en-US" w:eastAsia="zh-CN"/>
          <w14:ligatures w14:val="none"/>
        </w:rPr>
        <w:t>驼峰乡镇</w:t>
      </w:r>
      <w:r>
        <w:rPr>
          <w:rFonts w:hint="eastAsia" w:ascii="宋体" w:hAnsi="宋体" w:eastAsia="宋体" w:cs="宋体"/>
          <w:color w:val="auto"/>
          <w:sz w:val="24"/>
          <w:highlight w:val="none"/>
          <w14:ligatures w14:val="none"/>
        </w:rPr>
        <w:t>区道路清扫保洁要实行每日早上八点钟前完成清扫作业，其余时间进行流动保洁；</w:t>
      </w:r>
    </w:p>
    <w:p w14:paraId="10C88B92">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2、所有保洁范围内确保整洁；</w:t>
      </w:r>
    </w:p>
    <w:p w14:paraId="67F3B90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3、垃圾桶内生活垃圾及时清运并运到指定地点；</w:t>
      </w:r>
    </w:p>
    <w:p w14:paraId="6EBC70C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4、合同范围内生活垃圾做到日产日清；</w:t>
      </w:r>
    </w:p>
    <w:p w14:paraId="5CB6629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5、禁止焚烧垃圾；</w:t>
      </w:r>
    </w:p>
    <w:p w14:paraId="1D321BB7">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6、如遇重大活动时，乙方必须配合甲方，按标准及时进行相关作业；</w:t>
      </w:r>
    </w:p>
    <w:p w14:paraId="404CB715">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7、甲方按《</w:t>
      </w:r>
      <w:r>
        <w:rPr>
          <w:rFonts w:hint="eastAsia" w:ascii="宋体" w:hAnsi="宋体" w:eastAsia="宋体" w:cs="宋体"/>
          <w:color w:val="auto"/>
          <w:sz w:val="24"/>
          <w:highlight w:val="none"/>
          <w:lang w:eastAsia="zh-CN"/>
          <w14:ligatures w14:val="none"/>
        </w:rPr>
        <w:t>驼峰乡</w:t>
      </w:r>
      <w:r>
        <w:rPr>
          <w:rFonts w:hint="eastAsia" w:ascii="宋体" w:hAnsi="宋体" w:eastAsia="宋体" w:cs="宋体"/>
          <w:color w:val="auto"/>
          <w:sz w:val="24"/>
          <w:highlight w:val="none"/>
          <w14:ligatures w14:val="none"/>
        </w:rPr>
        <w:t>镇区保洁督查考核管理办法》每月定期或不定期对乙方保洁工作进行考核并按照考核细则扣除相应的承包金，督查考核人员由甲方安排。</w:t>
      </w:r>
    </w:p>
    <w:p w14:paraId="471DA912">
      <w:pPr>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第三条  承包期限</w:t>
      </w:r>
    </w:p>
    <w:p w14:paraId="60B41CF2">
      <w:pPr>
        <w:spacing w:after="0" w:line="360" w:lineRule="auto"/>
        <w:ind w:left="480" w:firstLine="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本次合同期限:</w:t>
      </w:r>
      <w:r>
        <w:rPr>
          <w:rFonts w:hint="eastAsia" w:ascii="宋体" w:hAnsi="宋体" w:eastAsia="宋体" w:cs="宋体"/>
          <w:color w:val="auto"/>
          <w:sz w:val="24"/>
          <w:highlight w:val="none"/>
          <w:u w:val="single"/>
          <w:lang w:val="en-US" w:eastAsia="zh-CN"/>
          <w14:ligatures w14:val="none"/>
        </w:rPr>
        <w:t xml:space="preserve">    </w:t>
      </w:r>
      <w:r>
        <w:rPr>
          <w:rFonts w:hint="eastAsia" w:ascii="宋体" w:hAnsi="宋体" w:eastAsia="宋体" w:cs="宋体"/>
          <w:color w:val="auto"/>
          <w:sz w:val="24"/>
          <w:highlight w:val="none"/>
          <w14:ligatures w14:val="none"/>
        </w:rPr>
        <w:t>年</w:t>
      </w:r>
      <w:r>
        <w:rPr>
          <w:rFonts w:hint="eastAsia" w:ascii="宋体" w:hAnsi="宋体" w:eastAsia="宋体" w:cs="宋体"/>
          <w:color w:val="auto"/>
          <w:sz w:val="24"/>
          <w:highlight w:val="none"/>
          <w:u w:val="single"/>
          <w:lang w:val="en-US" w:eastAsia="zh-CN"/>
          <w14:ligatures w14:val="none"/>
        </w:rPr>
        <w:t xml:space="preserve">   </w:t>
      </w:r>
      <w:r>
        <w:rPr>
          <w:rFonts w:hint="eastAsia" w:ascii="宋体" w:hAnsi="宋体" w:eastAsia="宋体" w:cs="宋体"/>
          <w:color w:val="auto"/>
          <w:sz w:val="24"/>
          <w:highlight w:val="none"/>
          <w14:ligatures w14:val="none"/>
        </w:rPr>
        <w:t>月</w:t>
      </w:r>
      <w:r>
        <w:rPr>
          <w:rFonts w:hint="eastAsia" w:ascii="宋体" w:hAnsi="宋体" w:eastAsia="宋体" w:cs="宋体"/>
          <w:color w:val="auto"/>
          <w:sz w:val="24"/>
          <w:highlight w:val="none"/>
          <w:u w:val="single"/>
          <w:lang w:val="en-US" w:eastAsia="zh-CN"/>
          <w14:ligatures w14:val="none"/>
        </w:rPr>
        <w:t xml:space="preserve">   </w:t>
      </w:r>
      <w:r>
        <w:rPr>
          <w:rFonts w:hint="eastAsia" w:ascii="宋体" w:hAnsi="宋体" w:eastAsia="宋体" w:cs="宋体"/>
          <w:color w:val="auto"/>
          <w:sz w:val="24"/>
          <w:highlight w:val="none"/>
          <w14:ligatures w14:val="none"/>
        </w:rPr>
        <w:t>日</w:t>
      </w:r>
      <w:r>
        <w:rPr>
          <w:rFonts w:hint="eastAsia" w:ascii="宋体" w:hAnsi="宋体" w:eastAsia="宋体" w:cs="宋体"/>
          <w:color w:val="auto"/>
          <w:sz w:val="24"/>
          <w:highlight w:val="none"/>
          <w:lang w:val="en-US" w:eastAsia="zh-CN"/>
          <w14:ligatures w14:val="none"/>
        </w:rPr>
        <w:t>起</w:t>
      </w:r>
      <w:r>
        <w:rPr>
          <w:rFonts w:hint="eastAsia" w:ascii="宋体" w:hAnsi="宋体" w:eastAsia="宋体" w:cs="宋体"/>
          <w:color w:val="auto"/>
          <w:sz w:val="24"/>
          <w:highlight w:val="none"/>
          <w14:ligatures w14:val="none"/>
        </w:rPr>
        <w:t>至</w:t>
      </w:r>
      <w:r>
        <w:rPr>
          <w:rFonts w:hint="eastAsia" w:ascii="宋体" w:hAnsi="宋体" w:eastAsia="宋体" w:cs="宋体"/>
          <w:color w:val="auto"/>
          <w:sz w:val="24"/>
          <w:highlight w:val="none"/>
          <w:u w:val="single"/>
          <w:lang w:val="en-US" w:eastAsia="zh-CN"/>
          <w14:ligatures w14:val="none"/>
        </w:rPr>
        <w:t xml:space="preserve">    </w:t>
      </w:r>
      <w:r>
        <w:rPr>
          <w:rFonts w:hint="eastAsia" w:ascii="宋体" w:hAnsi="宋体" w:eastAsia="宋体" w:cs="宋体"/>
          <w:color w:val="auto"/>
          <w:sz w:val="24"/>
          <w:highlight w:val="none"/>
          <w14:ligatures w14:val="none"/>
        </w:rPr>
        <w:t>年</w:t>
      </w:r>
      <w:r>
        <w:rPr>
          <w:rFonts w:hint="eastAsia" w:ascii="宋体" w:hAnsi="宋体" w:eastAsia="宋体" w:cs="宋体"/>
          <w:color w:val="auto"/>
          <w:sz w:val="24"/>
          <w:highlight w:val="none"/>
          <w:u w:val="single"/>
          <w:lang w:val="en-US" w:eastAsia="zh-CN"/>
          <w14:ligatures w14:val="none"/>
        </w:rPr>
        <w:t xml:space="preserve">    </w:t>
      </w:r>
      <w:r>
        <w:rPr>
          <w:rFonts w:hint="eastAsia" w:ascii="宋体" w:hAnsi="宋体" w:eastAsia="宋体" w:cs="宋体"/>
          <w:color w:val="auto"/>
          <w:sz w:val="24"/>
          <w:highlight w:val="none"/>
          <w14:ligatures w14:val="none"/>
        </w:rPr>
        <w:t>月</w:t>
      </w:r>
      <w:r>
        <w:rPr>
          <w:rFonts w:hint="eastAsia" w:ascii="宋体" w:hAnsi="宋体" w:eastAsia="宋体" w:cs="宋体"/>
          <w:color w:val="auto"/>
          <w:sz w:val="24"/>
          <w:highlight w:val="none"/>
          <w:u w:val="single"/>
          <w:lang w:val="en-US" w:eastAsia="zh-CN"/>
          <w14:ligatures w14:val="none"/>
        </w:rPr>
        <w:t xml:space="preserve">      </w:t>
      </w:r>
      <w:r>
        <w:rPr>
          <w:rFonts w:hint="eastAsia" w:ascii="宋体" w:hAnsi="宋体" w:eastAsia="宋体" w:cs="宋体"/>
          <w:color w:val="auto"/>
          <w:sz w:val="24"/>
          <w:highlight w:val="none"/>
          <w14:ligatures w14:val="none"/>
        </w:rPr>
        <w:t>日</w:t>
      </w:r>
      <w:r>
        <w:rPr>
          <w:rFonts w:hint="eastAsia" w:ascii="宋体" w:hAnsi="宋体" w:eastAsia="宋体" w:cs="宋体"/>
          <w:color w:val="auto"/>
          <w:sz w:val="24"/>
          <w:highlight w:val="none"/>
          <w:lang w:val="en-US" w:eastAsia="zh-CN"/>
          <w14:ligatures w14:val="none"/>
        </w:rPr>
        <w:t>止</w:t>
      </w:r>
      <w:r>
        <w:rPr>
          <w:rFonts w:hint="eastAsia" w:ascii="宋体" w:hAnsi="宋体" w:eastAsia="宋体" w:cs="宋体"/>
          <w:color w:val="auto"/>
          <w:sz w:val="24"/>
          <w:highlight w:val="none"/>
          <w14:ligatures w14:val="none"/>
        </w:rPr>
        <w:t>。</w:t>
      </w:r>
    </w:p>
    <w:p w14:paraId="02630E4E">
      <w:pPr>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第四条  承包方式</w:t>
      </w:r>
    </w:p>
    <w:p w14:paraId="3121EAC2">
      <w:pPr>
        <w:spacing w:after="0" w:line="360" w:lineRule="auto"/>
        <w:ind w:firstLine="480"/>
        <w:rPr>
          <w:rFonts w:ascii="Times New Roman" w:hAnsi="Times New Roman" w:eastAsia="宋体" w:cs="Times New Roman"/>
          <w:sz w:val="21"/>
          <w:szCs w:val="24"/>
          <w:highlight w:val="none"/>
          <w:lang w:val="en-US" w:eastAsia="zh-CN" w:bidi="ar-SA"/>
          <w14:ligatures w14:val="none"/>
        </w:rPr>
      </w:pPr>
      <w:r>
        <w:rPr>
          <w:rFonts w:hint="default" w:ascii="Times New Roman" w:hAnsi="Times New Roman" w:eastAsia="宋体" w:cs="Times New Roman"/>
          <w:color w:val="auto"/>
          <w:sz w:val="24"/>
          <w:szCs w:val="32"/>
          <w:highlight w:val="none"/>
          <w:lang w:val="en-US" w:eastAsia="zh-CN"/>
          <w14:ligatures w14:val="none"/>
        </w:rPr>
        <w:t>本合同为全包干制，乙方须自行承担人工、物料价格上涨等市场风险，非因甲方新增任务或政策强制性调整</w:t>
      </w:r>
      <w:r>
        <w:rPr>
          <w:rFonts w:hint="default" w:ascii="Times New Roman" w:hAnsi="Times New Roman" w:eastAsia="宋体" w:cs="Times New Roman"/>
          <w:sz w:val="24"/>
          <w:szCs w:val="32"/>
          <w:highlight w:val="none"/>
          <w:lang w:val="en-US" w:eastAsia="zh-CN"/>
          <w14:ligatures w14:val="none"/>
        </w:rPr>
        <w:t>，合同总价不予变更</w:t>
      </w:r>
      <w:r>
        <w:rPr>
          <w:rFonts w:hint="eastAsia" w:ascii="宋体" w:hAnsi="宋体" w:eastAsia="宋体" w:cs="宋体"/>
          <w:color w:val="auto"/>
          <w:sz w:val="24"/>
          <w:highlight w:val="none"/>
          <w:lang w:eastAsia="zh-CN"/>
          <w14:ligatures w14:val="none"/>
        </w:rPr>
        <w:t>。</w:t>
      </w:r>
      <w:r>
        <w:rPr>
          <w:rFonts w:hint="eastAsia" w:ascii="宋体" w:hAnsi="宋体" w:eastAsia="宋体" w:cs="宋体"/>
          <w:color w:val="auto"/>
          <w:sz w:val="24"/>
          <w:highlight w:val="none"/>
          <w14:ligatures w14:val="none"/>
        </w:rPr>
        <w:t>甲方将作业任务交给乙方，乙方按照甲方的管理要求和标准组织日常作业，并接受甲方监督和检查验收，甲方按约定支付承包经费。</w:t>
      </w:r>
    </w:p>
    <w:p w14:paraId="0677805B">
      <w:pPr>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第五条  承包经费及付款方式</w:t>
      </w:r>
    </w:p>
    <w:p w14:paraId="4EA98B88">
      <w:pPr>
        <w:spacing w:after="0" w:line="360" w:lineRule="auto"/>
        <w:ind w:firstLine="480"/>
        <w:rPr>
          <w:rFonts w:hint="default" w:ascii="宋体" w:hAnsi="宋体" w:eastAsia="宋体" w:cs="宋体"/>
          <w:color w:val="auto"/>
          <w:sz w:val="24"/>
          <w:highlight w:val="none"/>
          <w:u w:val="single"/>
          <w:lang w:val="en-US" w:eastAsia="zh-CN"/>
          <w14:ligatures w14:val="none"/>
        </w:rPr>
      </w:pPr>
      <w:r>
        <w:rPr>
          <w:rFonts w:hint="eastAsia" w:ascii="宋体" w:hAnsi="宋体" w:eastAsia="宋体" w:cs="宋体"/>
          <w:color w:val="auto"/>
          <w:sz w:val="24"/>
          <w:highlight w:val="none"/>
          <w14:ligatures w14:val="none"/>
        </w:rPr>
        <w:t>1、本合同承包（年）总金额：</w:t>
      </w:r>
      <w:r>
        <w:rPr>
          <w:rFonts w:hint="eastAsia" w:ascii="宋体" w:hAnsi="宋体" w:eastAsia="宋体" w:cs="宋体"/>
          <w:color w:val="auto"/>
          <w:sz w:val="24"/>
          <w:highlight w:val="none"/>
          <w:u w:val="single"/>
          <w:lang w:val="en-US" w:eastAsia="zh-CN"/>
          <w14:ligatures w14:val="none"/>
        </w:rPr>
        <w:t xml:space="preserve">             </w:t>
      </w:r>
    </w:p>
    <w:p w14:paraId="2A261AB9">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2、合同价款由甲方按月支付</w:t>
      </w:r>
      <w:r>
        <w:rPr>
          <w:rFonts w:hint="eastAsia" w:ascii="宋体" w:hAnsi="宋体" w:cs="宋体"/>
          <w:color w:val="auto"/>
          <w:sz w:val="24"/>
          <w:highlight w:val="none"/>
          <w:lang w:val="en-US" w:eastAsia="zh-CN"/>
          <w14:ligatures w14:val="none"/>
        </w:rPr>
        <w:t>（合同总额的1/12）</w:t>
      </w:r>
      <w:r>
        <w:rPr>
          <w:rFonts w:hint="eastAsia" w:ascii="宋体" w:hAnsi="宋体" w:eastAsia="宋体" w:cs="宋体"/>
          <w:color w:val="auto"/>
          <w:sz w:val="24"/>
          <w:highlight w:val="none"/>
          <w14:ligatures w14:val="none"/>
        </w:rPr>
        <w:t>。采购人根据月度考核结果，在收到供应商开具的合法发票后[15个工作日] 内，支付当期服务费用</w:t>
      </w:r>
      <w:r>
        <w:rPr>
          <w:rFonts w:hint="eastAsia" w:ascii="宋体" w:hAnsi="宋体" w:cs="宋体"/>
          <w:color w:val="auto"/>
          <w:sz w:val="24"/>
          <w:highlight w:val="none"/>
          <w:lang w:val="en-US" w:eastAsia="zh-CN"/>
          <w14:ligatures w14:val="none"/>
        </w:rPr>
        <w:t>（得分率×月承包费）</w:t>
      </w:r>
      <w:r>
        <w:rPr>
          <w:rFonts w:hint="eastAsia" w:ascii="宋体" w:hAnsi="宋体" w:eastAsia="宋体" w:cs="宋体"/>
          <w:color w:val="auto"/>
          <w:sz w:val="24"/>
          <w:highlight w:val="none"/>
          <w14:ligatures w14:val="none"/>
        </w:rPr>
        <w:t>。</w:t>
      </w:r>
      <w:r>
        <w:rPr>
          <w:rFonts w:hint="eastAsia" w:ascii="宋体" w:hAnsi="宋体" w:eastAsia="宋体" w:cs="宋体"/>
          <w:color w:val="auto"/>
          <w:sz w:val="24"/>
          <w:highlight w:val="none"/>
          <w:lang w:val="en-US" w:eastAsia="zh-CN"/>
          <w14:ligatures w14:val="none"/>
        </w:rPr>
        <w:t>试运行期间，按中标后的</w:t>
      </w:r>
      <w:r>
        <w:rPr>
          <w:rFonts w:hint="eastAsia" w:ascii="宋体" w:hAnsi="宋体" w:cs="宋体"/>
          <w:color w:val="auto"/>
          <w:sz w:val="24"/>
          <w:highlight w:val="none"/>
          <w:lang w:val="en-US" w:eastAsia="zh-CN"/>
          <w14:ligatures w14:val="none"/>
        </w:rPr>
        <w:t>价款</w:t>
      </w:r>
      <w:r>
        <w:rPr>
          <w:rFonts w:hint="eastAsia" w:ascii="宋体" w:hAnsi="宋体" w:eastAsia="宋体" w:cs="宋体"/>
          <w:color w:val="auto"/>
          <w:sz w:val="24"/>
          <w:highlight w:val="none"/>
          <w:lang w:val="en-US" w:eastAsia="zh-CN"/>
          <w14:ligatures w14:val="none"/>
        </w:rPr>
        <w:t>进行支付</w:t>
      </w:r>
      <w:r>
        <w:rPr>
          <w:rFonts w:hint="eastAsia" w:ascii="宋体" w:hAnsi="宋体" w:cs="宋体"/>
          <w:color w:val="auto"/>
          <w:sz w:val="24"/>
          <w:highlight w:val="none"/>
          <w:lang w:val="en-US" w:eastAsia="zh-CN"/>
          <w14:ligatures w14:val="none"/>
        </w:rPr>
        <w:t>。</w:t>
      </w:r>
      <w:r>
        <w:rPr>
          <w:rFonts w:hint="eastAsia" w:ascii="宋体" w:hAnsi="宋体" w:eastAsia="宋体" w:cs="宋体"/>
          <w:color w:val="auto"/>
          <w:sz w:val="24"/>
          <w:highlight w:val="none"/>
          <w:lang w:val="en-US" w:eastAsia="zh-CN"/>
          <w14:ligatures w14:val="none"/>
        </w:rPr>
        <w:t>具体考核规则见附件。</w:t>
      </w:r>
    </w:p>
    <w:p w14:paraId="6E6124E6">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lang w:val="en-US" w:eastAsia="zh-CN"/>
          <w14:ligatures w14:val="none"/>
        </w:rPr>
        <w:t>3</w:t>
      </w:r>
      <w:r>
        <w:rPr>
          <w:rFonts w:hint="eastAsia" w:ascii="宋体" w:hAnsi="宋体" w:eastAsia="宋体" w:cs="宋体"/>
          <w:color w:val="auto"/>
          <w:sz w:val="24"/>
          <w:highlight w:val="none"/>
          <w14:ligatures w14:val="none"/>
        </w:rPr>
        <w:t>、承包经费包括人员工资、人身意外保险、福利、工具、器材、服装、管理费用、利润、税金、合同包含的所有风险、责任及政策性文件规定的其他各项应有费用等。</w:t>
      </w:r>
    </w:p>
    <w:p w14:paraId="143604FC">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lang w:val="en-US" w:eastAsia="zh-CN"/>
          <w14:ligatures w14:val="none"/>
        </w:rPr>
        <w:t>4</w:t>
      </w:r>
      <w:r>
        <w:rPr>
          <w:rFonts w:hint="eastAsia" w:ascii="宋体" w:hAnsi="宋体" w:eastAsia="宋体" w:cs="宋体"/>
          <w:color w:val="auto"/>
          <w:sz w:val="24"/>
          <w:highlight w:val="none"/>
          <w14:ligatures w14:val="none"/>
        </w:rPr>
        <w:t>、</w:t>
      </w:r>
      <w:r>
        <w:rPr>
          <w:rFonts w:hint="eastAsia" w:ascii="宋体" w:hAnsi="宋体" w:eastAsia="宋体" w:cs="宋体"/>
          <w:color w:val="auto"/>
          <w:sz w:val="24"/>
          <w:highlight w:val="none"/>
          <w:lang w:val="en-US" w:eastAsia="zh-CN"/>
          <w14:ligatures w14:val="none"/>
        </w:rPr>
        <w:t>合同期内年承包费固定为￥</w:t>
      </w:r>
      <w:r>
        <w:rPr>
          <w:rFonts w:hint="eastAsia" w:ascii="宋体" w:hAnsi="宋体" w:eastAsia="宋体" w:cs="宋体"/>
          <w:color w:val="auto"/>
          <w:sz w:val="24"/>
          <w:highlight w:val="none"/>
          <w:u w:val="single"/>
          <w:lang w:val="en-US" w:eastAsia="zh-CN"/>
          <w14:ligatures w14:val="none"/>
        </w:rPr>
        <w:t xml:space="preserve">     </w:t>
      </w:r>
      <w:r>
        <w:rPr>
          <w:rFonts w:hint="eastAsia" w:ascii="宋体" w:hAnsi="宋体" w:eastAsia="宋体" w:cs="宋体"/>
          <w:color w:val="auto"/>
          <w:sz w:val="24"/>
          <w:highlight w:val="none"/>
          <w:lang w:val="en-US" w:eastAsia="zh-CN"/>
          <w14:ligatures w14:val="none"/>
        </w:rPr>
        <w:t>元（大写：</w:t>
      </w:r>
      <w:r>
        <w:rPr>
          <w:rFonts w:hint="eastAsia" w:ascii="宋体" w:hAnsi="宋体" w:eastAsia="宋体" w:cs="宋体"/>
          <w:color w:val="auto"/>
          <w:sz w:val="24"/>
          <w:highlight w:val="none"/>
          <w:u w:val="single"/>
          <w:lang w:val="en-US" w:eastAsia="zh-CN"/>
          <w14:ligatures w14:val="none"/>
        </w:rPr>
        <w:t xml:space="preserve">                </w:t>
      </w:r>
      <w:r>
        <w:rPr>
          <w:rFonts w:hint="eastAsia" w:ascii="宋体" w:hAnsi="宋体" w:eastAsia="宋体" w:cs="宋体"/>
          <w:color w:val="auto"/>
          <w:sz w:val="24"/>
          <w:highlight w:val="none"/>
          <w:lang w:val="en-US" w:eastAsia="zh-CN"/>
          <w14:ligatures w14:val="none"/>
        </w:rPr>
        <w:t>），除因甲方书面确认的工作量增加或范围扩大外，原则上不予调整。 如确需变更，需双方签署补充协议。</w:t>
      </w:r>
    </w:p>
    <w:p w14:paraId="4676AF48">
      <w:pPr>
        <w:spacing w:after="0" w:line="360" w:lineRule="auto"/>
        <w:ind w:firstLine="482"/>
        <w:rPr>
          <w:rFonts w:hint="default" w:ascii="宋体" w:hAnsi="宋体" w:eastAsia="宋体" w:cs="宋体"/>
          <w:color w:val="auto"/>
          <w:sz w:val="24"/>
          <w:highlight w:val="none"/>
          <w14:ligatures w14:val="none"/>
        </w:rPr>
      </w:pPr>
      <w:r>
        <w:rPr>
          <w:rFonts w:hint="eastAsia" w:ascii="宋体" w:hAnsi="宋体" w:eastAsia="宋体" w:cs="宋体"/>
          <w:b/>
          <w:bCs/>
          <w:color w:val="auto"/>
          <w:sz w:val="24"/>
          <w:highlight w:val="none"/>
          <w14:ligatures w14:val="none"/>
        </w:rPr>
        <w:t>第六条  履约</w:t>
      </w:r>
    </w:p>
    <w:p w14:paraId="3A911F4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1、乙方不得将承包的合同转包或分包给他人，否则，甲方有权取消合同，乙方赔偿甲方由此产生的经济损失。</w:t>
      </w:r>
    </w:p>
    <w:p w14:paraId="3C5E7D2C">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2、本合同生效后，如一方违约，违约方除了应当承担违约责任支付违约金以外，还应当承担守约方主张权利所产生的一切费用，包括不限于律师费、诉讼费、公证费等相关费用。</w:t>
      </w:r>
    </w:p>
    <w:p w14:paraId="18A5C874">
      <w:pPr>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第七条  人员设备及要求</w:t>
      </w:r>
    </w:p>
    <w:p w14:paraId="1FA252C5">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1、乙方须依据相关法律法规招聘工作人员，并做好工作人员的管理工作。</w:t>
      </w:r>
    </w:p>
    <w:p w14:paraId="4168D604">
      <w:pPr>
        <w:spacing w:after="0" w:line="360" w:lineRule="auto"/>
        <w:ind w:firstLine="480"/>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2、乙方自行配备压缩式垃圾转运车</w:t>
      </w:r>
      <w:r>
        <w:rPr>
          <w:rFonts w:hint="eastAsia" w:ascii="宋体" w:hAnsi="宋体" w:eastAsia="宋体" w:cs="宋体"/>
          <w:color w:val="auto"/>
          <w:sz w:val="24"/>
          <w:highlight w:val="none"/>
          <w:lang w:val="en-US" w:eastAsia="zh-CN"/>
          <w14:ligatures w14:val="none"/>
        </w:rPr>
        <w:t>1</w:t>
      </w:r>
      <w:r>
        <w:rPr>
          <w:rFonts w:hint="eastAsia" w:ascii="宋体" w:hAnsi="宋体" w:eastAsia="宋体" w:cs="宋体"/>
          <w:color w:val="auto"/>
          <w:sz w:val="24"/>
          <w:highlight w:val="none"/>
          <w14:ligatures w14:val="none"/>
        </w:rPr>
        <w:t>辆</w:t>
      </w:r>
      <w:r>
        <w:rPr>
          <w:rFonts w:hint="eastAsia" w:ascii="宋体" w:hAnsi="宋体" w:eastAsia="宋体" w:cs="宋体"/>
          <w:color w:val="auto"/>
          <w:sz w:val="24"/>
          <w:highlight w:val="none"/>
          <w:lang w:eastAsia="zh-CN"/>
          <w14:ligatures w14:val="none"/>
        </w:rPr>
        <w:t>、</w:t>
      </w:r>
      <w:r>
        <w:rPr>
          <w:rFonts w:hint="eastAsia" w:ascii="宋体" w:hAnsi="宋体" w:eastAsia="宋体" w:cs="宋体"/>
          <w:color w:val="auto"/>
          <w:sz w:val="24"/>
          <w:highlight w:val="none"/>
          <w:lang w:val="en-US" w:eastAsia="zh-CN"/>
          <w14:ligatures w14:val="none"/>
        </w:rPr>
        <w:t>道路洗扫车一辆、勾臂车1辆，车辆所有权属于乙方所有，乙方负责日常维护（含维修、保养、油料及保险等费用由乙方自理）。甲方现有的洒水降尘车1辆、垃圾桶120只、勾臂车铁箱8只、平移式垃圾中转站3座（平移式垃圾转运箱3只、垂直是压缩机1座（老区）</w:t>
      </w:r>
      <w:r>
        <w:rPr>
          <w:rFonts w:hint="eastAsia" w:ascii="宋体" w:hAnsi="宋体" w:eastAsia="宋体" w:cs="宋体"/>
          <w:color w:val="auto"/>
          <w:sz w:val="24"/>
          <w:highlight w:val="none"/>
          <w14:ligatures w14:val="none"/>
        </w:rPr>
        <w:t>。</w:t>
      </w:r>
    </w:p>
    <w:p w14:paraId="2C2CB2B8">
      <w:pPr>
        <w:spacing w:after="0" w:line="360" w:lineRule="auto"/>
        <w:ind w:firstLine="480"/>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3、车辆上牌、保险及维修所产生的一切费用和车辆使用中产生的包括但不限于安全行驶等一切</w:t>
      </w:r>
      <w:r>
        <w:rPr>
          <w:rFonts w:hint="eastAsia" w:ascii="宋体" w:hAnsi="宋体" w:eastAsia="宋体" w:cs="宋体"/>
          <w:color w:val="auto"/>
          <w:sz w:val="24"/>
          <w:highlight w:val="none"/>
          <w:lang w:val="en-US" w:eastAsia="zh-CN"/>
          <w14:ligatures w14:val="none"/>
        </w:rPr>
        <w:t>责任</w:t>
      </w:r>
      <w:r>
        <w:rPr>
          <w:rFonts w:hint="eastAsia" w:ascii="宋体" w:hAnsi="宋体" w:eastAsia="宋体" w:cs="宋体"/>
          <w:color w:val="auto"/>
          <w:sz w:val="24"/>
          <w:highlight w:val="none"/>
          <w14:ligatures w14:val="none"/>
        </w:rPr>
        <w:t>均由乙方自行承担。</w:t>
      </w:r>
    </w:p>
    <w:p w14:paraId="6D4919C4">
      <w:pPr>
        <w:keepNext w:val="0"/>
        <w:keepLines w:val="0"/>
        <w:pageBreakBefore w:val="0"/>
        <w:widowControl w:val="0"/>
        <w:spacing w:after="120" w:line="360" w:lineRule="auto"/>
        <w:ind w:left="0" w:firstLine="480"/>
        <w:jc w:val="both"/>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14:ligatures w14:val="none"/>
        </w:rPr>
        <w:t>4、乙方对作业安全负全责，需为所有工作人员购买足额工伤保险及意外险，并向甲方备案保单。因乙方设备操作不当或管理过失引发的安全事故，由乙方担责；若因甲方提供设备固有缺陷所致，甲方承担相应责任。</w:t>
      </w:r>
    </w:p>
    <w:p w14:paraId="53ECA6F3">
      <w:pPr>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第八条  服务和质量要求</w:t>
      </w:r>
    </w:p>
    <w:p w14:paraId="168E174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乙方依据甲方制定的《</w:t>
      </w:r>
      <w:r>
        <w:rPr>
          <w:rFonts w:hint="eastAsia" w:ascii="宋体" w:hAnsi="宋体" w:eastAsia="宋体" w:cs="宋体"/>
          <w:color w:val="auto"/>
          <w:sz w:val="24"/>
          <w:highlight w:val="none"/>
          <w:lang w:eastAsia="zh-CN"/>
          <w14:ligatures w14:val="none"/>
        </w:rPr>
        <w:t>驼峰乡</w:t>
      </w:r>
      <w:r>
        <w:rPr>
          <w:rFonts w:hint="eastAsia" w:ascii="宋体" w:hAnsi="宋体" w:eastAsia="宋体" w:cs="宋体"/>
          <w:color w:val="auto"/>
          <w:sz w:val="24"/>
          <w:highlight w:val="none"/>
          <w14:ligatures w14:val="none"/>
        </w:rPr>
        <w:t>镇区保洁督查考核管理办法》进行作业，确保作业时间，作业标准，如有变动甲方将另行通知。</w:t>
      </w:r>
    </w:p>
    <w:p w14:paraId="74AC227F">
      <w:pPr>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第九条  权利和义务</w:t>
      </w:r>
    </w:p>
    <w:p w14:paraId="325DBB43">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一、甲方权利和义务</w:t>
      </w:r>
    </w:p>
    <w:p w14:paraId="228623F4">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1、甲方对乙方的道路清扫保洁及垃圾转运业务依据甲方相关考核标准进行考核；</w:t>
      </w:r>
    </w:p>
    <w:p w14:paraId="2A0E1CD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2、甲方负责辖区内的垃圾点合理布局，便于乙方车辆进出收集转运生活垃圾；垃圾点路面硬化便于人员保洁；</w:t>
      </w:r>
    </w:p>
    <w:p w14:paraId="27EF723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3、甲方自收到乙方开具发票后5个工作日内支付相应服务费。</w:t>
      </w:r>
    </w:p>
    <w:p w14:paraId="06DBC637">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二、乙方权利和义务</w:t>
      </w:r>
    </w:p>
    <w:p w14:paraId="1FC164C8">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1、乙方需提供、开具正规发票并及时提供给甲方。</w:t>
      </w:r>
    </w:p>
    <w:p w14:paraId="22B12A4E">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乙方自行招聘清扫保洁人员，需按时发放人员工资性费用，职工工具费(有扫把、钳子、簸箕、服装相关费用)等，且保洁人员安全问题均由乙方负责，与甲方无关，乙方对所属人员有考核权和奖惩权。乙方须按时做好人员工资发放工作，如恶意拖欠人员工资，甲方有权解除合同。</w:t>
      </w:r>
    </w:p>
    <w:p w14:paraId="518BAC01">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3、乙方在道路清扫保洁作业合同期内，接受检查考核。其道路作业质量考核见《</w:t>
      </w:r>
      <w:r>
        <w:rPr>
          <w:rFonts w:hint="eastAsia" w:ascii="宋体" w:hAnsi="宋体" w:eastAsia="宋体" w:cs="宋体"/>
          <w:color w:val="auto"/>
          <w:sz w:val="24"/>
          <w:highlight w:val="none"/>
          <w:lang w:eastAsia="zh-CN"/>
          <w14:ligatures w14:val="none"/>
        </w:rPr>
        <w:t>驼峰乡</w:t>
      </w:r>
      <w:r>
        <w:rPr>
          <w:rFonts w:hint="eastAsia" w:ascii="宋体" w:hAnsi="宋体" w:eastAsia="宋体" w:cs="宋体"/>
          <w:color w:val="auto"/>
          <w:sz w:val="24"/>
          <w:highlight w:val="none"/>
          <w14:ligatures w14:val="none"/>
        </w:rPr>
        <w:t>镇区保洁督查考核管理办法》。</w:t>
      </w:r>
    </w:p>
    <w:p w14:paraId="70BC7575">
      <w:pPr>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第十条  争议解决</w:t>
      </w:r>
    </w:p>
    <w:p w14:paraId="602D41E7">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本合同未尽事宜，由甲乙双方协商解决。</w:t>
      </w:r>
      <w:r>
        <w:rPr>
          <w:rFonts w:hint="eastAsia" w:ascii="宋体" w:hAnsi="宋体" w:eastAsia="宋体" w:cs="宋体"/>
          <w:color w:val="auto"/>
          <w:sz w:val="24"/>
          <w:highlight w:val="none"/>
          <w:lang w:val="en-US" w:eastAsia="zh-CN"/>
          <w14:ligatures w14:val="none"/>
        </w:rPr>
        <w:t>协商不成时，任何一方均可向甲方所在地（东海县）人民法院提起诉讼。</w:t>
      </w:r>
    </w:p>
    <w:p w14:paraId="7F83B349">
      <w:pPr>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第十一条  合同终止</w:t>
      </w:r>
    </w:p>
    <w:p w14:paraId="1676D87D">
      <w:pPr>
        <w:spacing w:after="0" w:line="360" w:lineRule="auto"/>
        <w:ind w:firstLine="480"/>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1、由于政策的变化</w:t>
      </w:r>
      <w:r>
        <w:rPr>
          <w:rFonts w:hint="eastAsia" w:ascii="宋体" w:hAnsi="宋体" w:eastAsia="宋体" w:cs="宋体"/>
          <w:color w:val="auto"/>
          <w:sz w:val="24"/>
          <w:highlight w:val="none"/>
          <w:lang w:val="en-US" w:eastAsia="zh-CN"/>
          <w14:ligatures w14:val="none"/>
        </w:rPr>
        <w:t>或因疫情、自然灾害等</w:t>
      </w:r>
      <w:r>
        <w:rPr>
          <w:rFonts w:hint="eastAsia" w:ascii="宋体" w:hAnsi="宋体" w:eastAsia="宋体" w:cs="宋体"/>
          <w:color w:val="auto"/>
          <w:sz w:val="24"/>
          <w:highlight w:val="none"/>
          <w14:ligatures w14:val="none"/>
        </w:rPr>
        <w:t>不可抗力等原因</w:t>
      </w:r>
      <w:r>
        <w:rPr>
          <w:rFonts w:hint="eastAsia" w:ascii="宋体" w:hAnsi="宋体" w:eastAsia="宋体" w:cs="宋体"/>
          <w:color w:val="auto"/>
          <w:sz w:val="24"/>
          <w:highlight w:val="none"/>
          <w:lang w:val="en-US" w:eastAsia="zh-CN"/>
          <w14:ligatures w14:val="none"/>
        </w:rPr>
        <w:t>导致</w:t>
      </w:r>
      <w:r>
        <w:rPr>
          <w:rFonts w:hint="eastAsia" w:ascii="宋体" w:hAnsi="宋体" w:eastAsia="宋体" w:cs="宋体"/>
          <w:color w:val="auto"/>
          <w:sz w:val="24"/>
          <w:highlight w:val="none"/>
          <w14:ligatures w14:val="none"/>
        </w:rPr>
        <w:t>合同不能继续履行，视为合同终止。合同终止后，乙方应妥善做好承包项目的移交工作，按甲方的要求做好善后清理工作</w:t>
      </w:r>
      <w:r>
        <w:rPr>
          <w:rFonts w:hint="eastAsia" w:ascii="宋体" w:hAnsi="宋体" w:eastAsia="宋体" w:cs="宋体"/>
          <w:color w:val="auto"/>
          <w:sz w:val="24"/>
          <w:highlight w:val="none"/>
          <w:lang w:eastAsia="zh-CN"/>
          <w14:ligatures w14:val="none"/>
        </w:rPr>
        <w:t>，</w:t>
      </w:r>
      <w:r>
        <w:rPr>
          <w:rFonts w:hint="eastAsia" w:ascii="宋体" w:hAnsi="宋体" w:eastAsia="宋体" w:cs="宋体"/>
          <w:color w:val="auto"/>
          <w:sz w:val="24"/>
          <w:highlight w:val="none"/>
          <w:lang w:val="en-US" w:eastAsia="zh-CN"/>
          <w14:ligatures w14:val="none"/>
        </w:rPr>
        <w:t>互不承担违约责任。</w:t>
      </w:r>
    </w:p>
    <w:p w14:paraId="6368A90E">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2、合同履约期间，乙方未按合同约定履行，在甲方出具整改通知书后，乙方未按要求整改达三次，甲方有权单方解除合同。</w:t>
      </w:r>
    </w:p>
    <w:p w14:paraId="58995A0A">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3、合同期内，因甲方违约造成合同终止，乙方所购车辆费用由甲方负责承担，因乙方违约造成合同终止，乙方所购车辆及垃圾桶等设备由乙方自行承担，且甲方有权追究违约责任。</w:t>
      </w:r>
    </w:p>
    <w:p w14:paraId="7C288D46">
      <w:pPr>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第十二条  移交</w:t>
      </w:r>
    </w:p>
    <w:p w14:paraId="063A2736">
      <w:pPr>
        <w:spacing w:after="0" w:line="360" w:lineRule="auto"/>
        <w:ind w:firstLine="480"/>
        <w:rPr>
          <w:rFonts w:hint="eastAsia" w:ascii="宋体" w:hAnsi="宋体" w:eastAsia="宋体" w:cs="宋体"/>
          <w:color w:val="auto"/>
          <w:sz w:val="24"/>
          <w:highlight w:val="none"/>
          <w14:ligatures w14:val="none"/>
        </w:rPr>
      </w:pPr>
      <w:r>
        <w:rPr>
          <w:rFonts w:hint="eastAsia" w:ascii="宋体" w:hAnsi="宋体" w:eastAsia="宋体" w:cs="宋体"/>
          <w:color w:val="auto"/>
          <w:sz w:val="24"/>
          <w:highlight w:val="none"/>
          <w:lang w:val="en-US" w:eastAsia="zh-CN"/>
          <w14:ligatures w14:val="none"/>
        </w:rPr>
        <w:t>1、</w:t>
      </w:r>
      <w:r>
        <w:rPr>
          <w:rFonts w:hint="eastAsia" w:ascii="宋体" w:hAnsi="宋体" w:eastAsia="宋体" w:cs="宋体"/>
          <w:color w:val="auto"/>
          <w:sz w:val="24"/>
          <w:highlight w:val="none"/>
          <w14:ligatures w14:val="none"/>
        </w:rPr>
        <w:t>双方约定自本合同生效之日起，根据甲方发包事项，办理接管手续。</w:t>
      </w:r>
    </w:p>
    <w:p w14:paraId="274ABE47">
      <w:pPr>
        <w:spacing w:after="0" w:line="360" w:lineRule="auto"/>
        <w:ind w:firstLine="480"/>
        <w:rPr>
          <w:rFonts w:hint="default" w:ascii="Times New Roman" w:hAnsi="Times New Roman" w:eastAsia="宋体" w:cs="Times New Roman"/>
          <w:color w:val="auto"/>
          <w:sz w:val="21"/>
          <w:szCs w:val="24"/>
          <w:highlight w:val="none"/>
          <w:lang w:val="en-US" w:eastAsia="zh-CN" w:bidi="ar-SA"/>
          <w14:ligatures w14:val="none"/>
        </w:rPr>
      </w:pPr>
      <w:r>
        <w:rPr>
          <w:rFonts w:hint="eastAsia" w:ascii="宋体" w:hAnsi="宋体" w:eastAsia="宋体" w:cs="宋体"/>
          <w:color w:val="auto"/>
          <w:sz w:val="24"/>
          <w:highlight w:val="none"/>
          <w:lang w:val="en-US" w:eastAsia="zh-CN"/>
          <w14:ligatures w14:val="none"/>
        </w:rPr>
        <w:t>2、合同终止或解除后3日内，乙方需归还全部甲方设备（自然损耗除外），并完成人员、档案、未结费用等事项的书面交接，移交清单需双方签字确认。</w:t>
      </w:r>
    </w:p>
    <w:p w14:paraId="16E73D2C">
      <w:pPr>
        <w:spacing w:after="0" w:line="360" w:lineRule="auto"/>
        <w:ind w:firstLine="482"/>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t>第十三条  合同份数</w:t>
      </w:r>
    </w:p>
    <w:p w14:paraId="09949881">
      <w:pPr>
        <w:spacing w:after="0" w:line="360" w:lineRule="auto"/>
        <w:ind w:firstLine="480"/>
        <w:rPr>
          <w:rFonts w:hint="eastAsia" w:ascii="宋体" w:hAnsi="宋体" w:eastAsia="宋体" w:cs="宋体"/>
          <w:color w:val="auto"/>
          <w:sz w:val="24"/>
          <w:highlight w:val="none"/>
          <w:lang w:eastAsia="zh-CN"/>
          <w14:ligatures w14:val="none"/>
        </w:rPr>
      </w:pPr>
      <w:r>
        <w:rPr>
          <w:rFonts w:hint="eastAsia" w:ascii="宋体" w:hAnsi="宋体" w:eastAsia="宋体" w:cs="宋体"/>
          <w:color w:val="auto"/>
          <w:sz w:val="24"/>
          <w:highlight w:val="none"/>
          <w14:ligatures w14:val="none"/>
        </w:rPr>
        <w:t>1、本合同一式</w:t>
      </w:r>
      <w:r>
        <w:rPr>
          <w:rFonts w:hint="eastAsia" w:ascii="宋体" w:hAnsi="宋体" w:eastAsia="宋体" w:cs="宋体"/>
          <w:color w:val="auto"/>
          <w:sz w:val="24"/>
          <w:highlight w:val="none"/>
          <w:u w:val="single"/>
          <w14:ligatures w14:val="none"/>
        </w:rPr>
        <w:t>肆</w:t>
      </w:r>
      <w:r>
        <w:rPr>
          <w:rFonts w:hint="eastAsia" w:ascii="宋体" w:hAnsi="宋体" w:eastAsia="宋体" w:cs="宋体"/>
          <w:color w:val="auto"/>
          <w:sz w:val="24"/>
          <w:highlight w:val="none"/>
          <w14:ligatures w14:val="none"/>
        </w:rPr>
        <w:t>份，具有同等法律效力，甲乙双方各</w:t>
      </w:r>
      <w:r>
        <w:rPr>
          <w:rFonts w:hint="eastAsia" w:ascii="宋体" w:hAnsi="宋体" w:eastAsia="宋体" w:cs="宋体"/>
          <w:color w:val="auto"/>
          <w:sz w:val="24"/>
          <w:highlight w:val="none"/>
          <w:lang w:eastAsia="zh-CN"/>
          <w14:ligatures w14:val="none"/>
        </w:rPr>
        <w:t>贰</w:t>
      </w:r>
      <w:r>
        <w:rPr>
          <w:rFonts w:hint="eastAsia" w:ascii="宋体" w:hAnsi="宋体" w:eastAsia="宋体" w:cs="宋体"/>
          <w:color w:val="auto"/>
          <w:sz w:val="24"/>
          <w:highlight w:val="none"/>
          <w14:ligatures w14:val="none"/>
        </w:rPr>
        <w:t>份</w:t>
      </w:r>
      <w:r>
        <w:rPr>
          <w:rFonts w:hint="eastAsia" w:ascii="宋体" w:hAnsi="宋体" w:eastAsia="宋体" w:cs="宋体"/>
          <w:color w:val="auto"/>
          <w:sz w:val="24"/>
          <w:highlight w:val="none"/>
          <w:lang w:eastAsia="zh-CN"/>
          <w14:ligatures w14:val="none"/>
        </w:rPr>
        <w:t>。</w:t>
      </w:r>
    </w:p>
    <w:p w14:paraId="6AAB01DC">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2、合同经甲乙双方签字并加盖公章后生效。</w:t>
      </w:r>
    </w:p>
    <w:p w14:paraId="4CB44177">
      <w:pPr>
        <w:spacing w:after="0" w:line="360" w:lineRule="auto"/>
        <w:ind w:firstLine="0"/>
        <w:rPr>
          <w:rFonts w:hint="default" w:ascii="宋体" w:hAnsi="宋体" w:eastAsia="宋体" w:cs="宋体"/>
          <w:color w:val="auto"/>
          <w:sz w:val="24"/>
          <w:highlight w:val="none"/>
          <w:u w:val="single"/>
          <w14:ligatures w14:val="none"/>
        </w:rPr>
      </w:pPr>
      <w:r>
        <w:rPr>
          <w:rFonts w:hint="eastAsia" w:ascii="宋体" w:hAnsi="宋体" w:eastAsia="宋体" w:cs="宋体"/>
          <w:color w:val="auto"/>
          <w:sz w:val="24"/>
          <w:highlight w:val="none"/>
          <w14:ligatures w14:val="none"/>
        </w:rPr>
        <w:t>甲方（公章）：</w:t>
      </w:r>
      <w:r>
        <w:rPr>
          <w:rFonts w:hint="eastAsia" w:ascii="宋体" w:hAnsi="宋体" w:eastAsia="宋体" w:cs="宋体"/>
          <w:color w:val="auto"/>
          <w:sz w:val="24"/>
          <w:highlight w:val="none"/>
          <w:u w:val="single"/>
          <w14:ligatures w14:val="none"/>
        </w:rPr>
        <w:t xml:space="preserve">            </w:t>
      </w:r>
      <w:r>
        <w:rPr>
          <w:rFonts w:hint="eastAsia" w:ascii="宋体" w:hAnsi="宋体" w:eastAsia="宋体" w:cs="宋体"/>
          <w:color w:val="auto"/>
          <w:sz w:val="24"/>
          <w:highlight w:val="none"/>
          <w14:ligatures w14:val="none"/>
        </w:rPr>
        <w:t xml:space="preserve">  乙方（公章）：</w:t>
      </w:r>
      <w:r>
        <w:rPr>
          <w:rFonts w:hint="eastAsia" w:ascii="宋体" w:hAnsi="宋体" w:eastAsia="宋体" w:cs="宋体"/>
          <w:color w:val="auto"/>
          <w:sz w:val="24"/>
          <w:highlight w:val="none"/>
          <w:u w:val="single"/>
          <w14:ligatures w14:val="none"/>
        </w:rPr>
        <w:t xml:space="preserve">            </w:t>
      </w:r>
    </w:p>
    <w:p w14:paraId="747BD6A1">
      <w:pPr>
        <w:spacing w:after="0" w:line="360" w:lineRule="auto"/>
        <w:ind w:firstLine="0"/>
        <w:rPr>
          <w:rFonts w:hint="default" w:ascii="宋体" w:hAnsi="宋体" w:eastAsia="宋体" w:cs="宋体"/>
          <w:color w:val="auto"/>
          <w:sz w:val="24"/>
          <w:highlight w:val="none"/>
          <w14:ligatures w14:val="none"/>
        </w:rPr>
      </w:pPr>
    </w:p>
    <w:p w14:paraId="72595D24">
      <w:pPr>
        <w:spacing w:after="0" w:line="360" w:lineRule="auto"/>
        <w:ind w:firstLine="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甲方代表：</w:t>
      </w:r>
      <w:r>
        <w:rPr>
          <w:rFonts w:hint="eastAsia" w:ascii="宋体" w:hAnsi="宋体" w:eastAsia="宋体" w:cs="宋体"/>
          <w:color w:val="auto"/>
          <w:sz w:val="24"/>
          <w:highlight w:val="none"/>
          <w:u w:val="single"/>
          <w14:ligatures w14:val="none"/>
        </w:rPr>
        <w:t xml:space="preserve">               </w:t>
      </w:r>
      <w:r>
        <w:rPr>
          <w:rFonts w:hint="eastAsia" w:ascii="宋体" w:hAnsi="宋体" w:eastAsia="宋体" w:cs="宋体"/>
          <w:color w:val="auto"/>
          <w:sz w:val="24"/>
          <w:highlight w:val="none"/>
          <w14:ligatures w14:val="none"/>
        </w:rPr>
        <w:t xml:space="preserve">  乙方代表：</w:t>
      </w:r>
      <w:r>
        <w:rPr>
          <w:rFonts w:hint="eastAsia" w:ascii="宋体" w:hAnsi="宋体" w:eastAsia="宋体" w:cs="宋体"/>
          <w:color w:val="auto"/>
          <w:sz w:val="24"/>
          <w:highlight w:val="none"/>
          <w:u w:val="single"/>
          <w14:ligatures w14:val="none"/>
        </w:rPr>
        <w:t xml:space="preserve">               </w:t>
      </w:r>
    </w:p>
    <w:p w14:paraId="00E70973">
      <w:pPr>
        <w:spacing w:after="0" w:line="360" w:lineRule="auto"/>
        <w:ind w:firstLine="0"/>
        <w:rPr>
          <w:rFonts w:hint="default" w:ascii="宋体" w:hAnsi="宋体" w:eastAsia="宋体" w:cs="宋体"/>
          <w:color w:val="auto"/>
          <w:sz w:val="24"/>
          <w:highlight w:val="none"/>
          <w:u w:val="single"/>
          <w14:ligatures w14:val="none"/>
        </w:rPr>
      </w:pPr>
      <w:r>
        <w:rPr>
          <w:rFonts w:hint="eastAsia" w:ascii="宋体" w:hAnsi="宋体" w:eastAsia="宋体" w:cs="宋体"/>
          <w:color w:val="auto"/>
          <w:sz w:val="24"/>
          <w:highlight w:val="none"/>
          <w14:ligatures w14:val="none"/>
        </w:rPr>
        <w:t>日    期：</w:t>
      </w:r>
      <w:r>
        <w:rPr>
          <w:rFonts w:hint="eastAsia" w:ascii="宋体" w:hAnsi="宋体" w:eastAsia="宋体" w:cs="宋体"/>
          <w:color w:val="auto"/>
          <w:sz w:val="24"/>
          <w:highlight w:val="none"/>
          <w:u w:val="single"/>
          <w14:ligatures w14:val="none"/>
        </w:rPr>
        <w:t xml:space="preserve">               </w:t>
      </w:r>
      <w:r>
        <w:rPr>
          <w:rFonts w:hint="eastAsia" w:ascii="宋体" w:hAnsi="宋体" w:eastAsia="宋体" w:cs="宋体"/>
          <w:color w:val="auto"/>
          <w:sz w:val="24"/>
          <w:highlight w:val="none"/>
          <w14:ligatures w14:val="none"/>
        </w:rPr>
        <w:t xml:space="preserve">  日    期：</w:t>
      </w:r>
      <w:r>
        <w:rPr>
          <w:rFonts w:hint="eastAsia" w:ascii="宋体" w:hAnsi="宋体" w:eastAsia="宋体" w:cs="宋体"/>
          <w:color w:val="auto"/>
          <w:sz w:val="24"/>
          <w:highlight w:val="none"/>
          <w:u w:val="single"/>
          <w14:ligatures w14:val="none"/>
        </w:rPr>
        <w:t xml:space="preserve">               </w:t>
      </w:r>
    </w:p>
    <w:p w14:paraId="34C6D103">
      <w:pPr>
        <w:spacing w:after="0" w:line="360" w:lineRule="auto"/>
        <w:ind w:firstLine="0"/>
        <w:rPr>
          <w:rFonts w:hint="default" w:ascii="宋体" w:hAnsi="宋体" w:eastAsia="宋体" w:cs="宋体"/>
          <w:color w:val="auto"/>
          <w:sz w:val="24"/>
          <w:highlight w:val="none"/>
          <w14:ligatures w14:val="none"/>
        </w:rPr>
      </w:pPr>
    </w:p>
    <w:p w14:paraId="046344AC">
      <w:pPr>
        <w:widowControl w:val="0"/>
        <w:spacing w:after="0" w:line="240" w:lineRule="auto"/>
        <w:rPr>
          <w:rFonts w:ascii="MS Mincho" w:hAnsi="Times New Roman" w:eastAsia="MS Mincho" w:cs="Times New Roman"/>
          <w:color w:val="auto"/>
          <w:sz w:val="24"/>
          <w:szCs w:val="24"/>
          <w:highlight w:val="none"/>
          <w:lang w:val="en-US" w:eastAsia="zh-CN" w:bidi="ar-SA"/>
          <w14:ligatures w14:val="none"/>
        </w:rPr>
      </w:pPr>
    </w:p>
    <w:p w14:paraId="02887F71">
      <w:pPr>
        <w:spacing w:after="0" w:line="240" w:lineRule="auto"/>
        <w:ind w:firstLine="0"/>
        <w:rPr>
          <w:rFonts w:hint="default" w:ascii="Times New Roman" w:hAnsi="Times New Roman" w:eastAsia="宋体" w:cs="Times New Roman"/>
          <w:color w:val="auto"/>
          <w:sz w:val="21"/>
          <w:highlight w:val="none"/>
          <w14:ligatures w14:val="none"/>
        </w:rPr>
      </w:pPr>
    </w:p>
    <w:p w14:paraId="5947DFBF">
      <w:pPr>
        <w:widowControl w:val="0"/>
        <w:spacing w:after="0" w:line="240" w:lineRule="auto"/>
        <w:ind w:firstLine="645"/>
        <w:jc w:val="both"/>
        <w:rPr>
          <w:rFonts w:ascii="楷体_GB2312" w:hAnsi="Times New Roman" w:eastAsia="楷体_GB2312" w:cs="Times New Roman"/>
          <w:color w:val="auto"/>
          <w:sz w:val="32"/>
          <w:szCs w:val="20"/>
          <w:highlight w:val="none"/>
          <w:lang w:val="en-US" w:eastAsia="zh-CN" w:bidi="ar-SA"/>
          <w14:ligatures w14:val="none"/>
        </w:rPr>
      </w:pPr>
    </w:p>
    <w:p w14:paraId="06FEB2EE">
      <w:pPr>
        <w:widowControl w:val="0"/>
        <w:spacing w:after="0" w:line="240" w:lineRule="auto"/>
        <w:rPr>
          <w:rFonts w:ascii="MS Mincho" w:hAnsi="Times New Roman" w:eastAsia="MS Mincho" w:cs="Times New Roman"/>
          <w:color w:val="auto"/>
          <w:sz w:val="24"/>
          <w:szCs w:val="24"/>
          <w:highlight w:val="none"/>
          <w:lang w:val="en-US" w:eastAsia="zh-CN" w:bidi="ar-SA"/>
          <w14:ligatures w14:val="none"/>
        </w:rPr>
      </w:pPr>
    </w:p>
    <w:p w14:paraId="5A1FD5DD">
      <w:pPr>
        <w:spacing w:after="0" w:line="360" w:lineRule="auto"/>
        <w:ind w:firstLine="0"/>
        <w:rPr>
          <w:rFonts w:hint="eastAsia" w:ascii="宋体" w:hAnsi="宋体" w:eastAsia="宋体" w:cs="宋体"/>
          <w:color w:val="auto"/>
          <w:sz w:val="24"/>
          <w:highlight w:val="none"/>
          <w14:ligatures w14:val="none"/>
        </w:rPr>
      </w:pPr>
    </w:p>
    <w:p w14:paraId="2F6C4A8C">
      <w:pPr>
        <w:spacing w:after="0" w:line="496" w:lineRule="exact"/>
        <w:ind w:firstLine="0"/>
        <w:jc w:val="both"/>
        <w:rPr>
          <w:rFonts w:hint="eastAsia" w:ascii="宋体" w:hAnsi="宋体" w:eastAsia="宋体" w:cs="宋体"/>
          <w:b/>
          <w:bCs/>
          <w:color w:val="auto"/>
          <w:sz w:val="24"/>
          <w:highlight w:val="none"/>
          <w14:ligatures w14:val="none"/>
        </w:rPr>
      </w:pPr>
    </w:p>
    <w:p w14:paraId="1B351ABC">
      <w:pPr>
        <w:rPr>
          <w:rFonts w:hint="eastAsia"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14:ligatures w14:val="none"/>
        </w:rPr>
        <w:br w:type="page" w:clear="all"/>
      </w:r>
    </w:p>
    <w:p w14:paraId="0EEE9C37">
      <w:pPr>
        <w:spacing w:after="0" w:line="496" w:lineRule="exact"/>
        <w:ind w:firstLine="0"/>
        <w:jc w:val="both"/>
        <w:rPr>
          <w:rFonts w:hint="default" w:ascii="宋体" w:hAnsi="宋体" w:eastAsia="宋体" w:cs="宋体"/>
          <w:b/>
          <w:color w:val="auto"/>
          <w:sz w:val="24"/>
          <w:highlight w:val="none"/>
          <w14:ligatures w14:val="none"/>
        </w:rPr>
      </w:pPr>
      <w:r>
        <w:rPr>
          <w:rFonts w:hint="eastAsia" w:ascii="宋体" w:hAnsi="宋体" w:eastAsia="宋体" w:cs="宋体"/>
          <w:b/>
          <w:bCs/>
          <w:color w:val="auto"/>
          <w:sz w:val="24"/>
          <w:highlight w:val="none"/>
          <w14:ligatures w14:val="none"/>
        </w:rPr>
        <w:t>附件：</w:t>
      </w:r>
      <w:bookmarkStart w:id="85" w:name="_Hlk132984052"/>
      <w:r>
        <w:rPr>
          <w:rFonts w:hint="eastAsia" w:ascii="宋体" w:hAnsi="宋体" w:eastAsia="宋体" w:cs="宋体"/>
          <w:b/>
          <w:color w:val="auto"/>
          <w:sz w:val="24"/>
          <w:highlight w:val="none"/>
          <w:lang w:eastAsia="zh-CN"/>
          <w14:ligatures w14:val="none"/>
        </w:rPr>
        <w:t>驼峰乡</w:t>
      </w:r>
      <w:r>
        <w:rPr>
          <w:rFonts w:hint="eastAsia" w:ascii="宋体" w:hAnsi="宋体" w:eastAsia="宋体" w:cs="宋体"/>
          <w:b/>
          <w:color w:val="auto"/>
          <w:sz w:val="24"/>
          <w:highlight w:val="none"/>
          <w14:ligatures w14:val="none"/>
        </w:rPr>
        <w:t>保洁及村垃圾转运督查考核管理办法</w:t>
      </w:r>
      <w:bookmarkEnd w:id="85"/>
    </w:p>
    <w:p w14:paraId="2F4C34E9">
      <w:pPr>
        <w:spacing w:after="0" w:line="360" w:lineRule="auto"/>
        <w:ind w:firstLine="0"/>
        <w:rPr>
          <w:rFonts w:hint="default" w:ascii="宋体" w:hAnsi="宋体" w:eastAsia="宋体" w:cs="宋体"/>
          <w:b/>
          <w:bCs/>
          <w:color w:val="auto"/>
          <w:sz w:val="24"/>
          <w:highlight w:val="none"/>
          <w14:ligatures w14:val="none"/>
        </w:rPr>
      </w:pPr>
    </w:p>
    <w:p w14:paraId="756D8A39">
      <w:pPr>
        <w:spacing w:after="0" w:line="360" w:lineRule="auto"/>
        <w:ind w:left="0" w:firstLine="480"/>
        <w:rPr>
          <w:rFonts w:hint="eastAsia" w:ascii="宋体" w:hAnsi="宋体" w:eastAsia="宋体" w:cs="宋体"/>
          <w:color w:val="auto"/>
          <w:sz w:val="24"/>
          <w:highlight w:val="none"/>
          <w:lang w:val="en-US" w:eastAsia="zh-CN"/>
          <w14:ligatures w14:val="none"/>
        </w:rPr>
      </w:pPr>
      <w:r>
        <w:rPr>
          <w:rFonts w:hint="eastAsia" w:ascii="宋体" w:hAnsi="宋体" w:eastAsia="宋体" w:cs="宋体"/>
          <w:color w:val="auto"/>
          <w:sz w:val="24"/>
          <w:highlight w:val="none"/>
          <w:lang w:val="en-US" w:eastAsia="zh-CN"/>
          <w14:ligatures w14:val="none"/>
        </w:rPr>
        <w:t>每月承包费计算公式：当期应付费用=（当月考核得分/100）×月承包费（合同总额的1/12）。（仅供参考，具体计费办法由双方协商确定）检查考核采取每月定期检查或不定期抽查方式,即对清扫清运工作质量实行处罚考核，月查月结。每月初汇总对上月考核情况，根据考核情况核发承包方每月的承包费用。具体考核标准如下：</w:t>
      </w:r>
    </w:p>
    <w:p w14:paraId="69D49F6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分值：完全符合得96-100分，较符合得86-95分，基本符合得76-85分，基本不符合得71-75分，非常不符合得66-70分，完全不符合得65分；（考核分值每分10元）</w:t>
      </w:r>
    </w:p>
    <w:p w14:paraId="5DB2CBB2">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镇区道路及生活垃圾转运标准</w:t>
      </w:r>
    </w:p>
    <w:p w14:paraId="0483AAD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感官质量检查评价</w:t>
      </w:r>
    </w:p>
    <w:p w14:paraId="7D34B170">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确保检测人员工作安全在被检查路段一侧抽取300m路段，有3-5名评价人员分别独立进行检查，并按各项符合质量要求的程度评价打分。1-2、在被检查道路反向一侧重复1-1项检查打分；</w:t>
      </w:r>
    </w:p>
    <w:p w14:paraId="3B50537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1-2、质量要求及规定：</w:t>
      </w:r>
    </w:p>
    <w:p w14:paraId="6196D2F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道路整洁，无成片垃圾、污渍、积水（30分）；</w:t>
      </w:r>
    </w:p>
    <w:p w14:paraId="2B500723">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道路边角部位清洁，无积存垃圾（20分）；</w:t>
      </w:r>
    </w:p>
    <w:p w14:paraId="4C3EA5D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路面排水箅及周围无成片垃圾、落叶和积水（20分）。</w:t>
      </w:r>
    </w:p>
    <w:p w14:paraId="042567E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垃圾桶清洁投放口无满溢，周边无生活垃圾（20分）。</w:t>
      </w:r>
    </w:p>
    <w:p w14:paraId="1F6BB69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道路两侧树穴、花坛、绿化带无生活垃圾（10）。</w:t>
      </w:r>
    </w:p>
    <w:p w14:paraId="782406BA">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道路可见垃圾检测评价</w:t>
      </w:r>
    </w:p>
    <w:p w14:paraId="2D414577">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2-1、确保检测人员工作安全在被检查路段一侧抽取500㎡路段，有1-2名评价人员分别进行检查。</w:t>
      </w:r>
    </w:p>
    <w:p w14:paraId="509C1CA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2-2、质量要求及规定：</w:t>
      </w:r>
    </w:p>
    <w:p w14:paraId="57FFC68E">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应以观测面积500㎡进行观测；</w:t>
      </w:r>
    </w:p>
    <w:p w14:paraId="468141F2">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检测面积应包括人行道、道路两侧绿化带等面积；</w:t>
      </w:r>
    </w:p>
    <w:p w14:paraId="65717126">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成堆纸屑、果皮等垃圾应以大于等于0.25㎡为1</w:t>
      </w:r>
      <w:r>
        <w:rPr>
          <w:rFonts w:hint="eastAsia" w:ascii="宋体" w:hAnsi="宋体" w:eastAsia="宋体" w:cs="宋体"/>
          <w:color w:val="auto"/>
          <w:sz w:val="24"/>
          <w:highlight w:val="none"/>
          <w:lang w:eastAsia="zh-CN"/>
          <w14:ligatures w14:val="none"/>
        </w:rPr>
        <w:t>个</w:t>
      </w:r>
      <w:r>
        <w:rPr>
          <w:rFonts w:hint="eastAsia" w:ascii="宋体" w:hAnsi="宋体" w:eastAsia="宋体" w:cs="宋体"/>
          <w:color w:val="auto"/>
          <w:sz w:val="24"/>
          <w:highlight w:val="none"/>
          <w14:ligatures w14:val="none"/>
        </w:rPr>
        <w:t>；</w:t>
      </w:r>
    </w:p>
    <w:p w14:paraId="6933F40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成片污渍面积应以大于等于1㎡为一处；</w:t>
      </w:r>
    </w:p>
    <w:p w14:paraId="7EDB9AF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植物落叶、落花、落果根据其形状可不计为可见垃圾，陈旧性污渍应不计为污渍，水渍应不计为污渍。</w:t>
      </w:r>
    </w:p>
    <w:p w14:paraId="184FEC6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2-3、分值：（占总分的30%）</w:t>
      </w:r>
    </w:p>
    <w:p w14:paraId="653BAB97">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一级道路：</w:t>
      </w:r>
    </w:p>
    <w:p w14:paraId="4A840D36">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1-5处完全符合得96-100分；</w:t>
      </w:r>
    </w:p>
    <w:p w14:paraId="56AFD927">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6-10处较好符合得86-95分；</w:t>
      </w:r>
    </w:p>
    <w:p w14:paraId="54921578">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11-20处基本符合得76-85分；</w:t>
      </w:r>
    </w:p>
    <w:p w14:paraId="062F288E">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21-30处基本不符合得71-75分；</w:t>
      </w:r>
    </w:p>
    <w:p w14:paraId="4E60CD07">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31-40处非常不符合得66-70分；</w:t>
      </w:r>
    </w:p>
    <w:p w14:paraId="16AF0555">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41-50处完全不符合得65分。</w:t>
      </w:r>
    </w:p>
    <w:p w14:paraId="1E065470">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二级道路：</w:t>
      </w:r>
    </w:p>
    <w:p w14:paraId="4896C82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1-10处完全符合得96-100分；</w:t>
      </w:r>
    </w:p>
    <w:p w14:paraId="18F2E51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11-20处较好符合得86-95分；</w:t>
      </w:r>
    </w:p>
    <w:p w14:paraId="40463993">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21-30处基本符合得76-85分；</w:t>
      </w:r>
    </w:p>
    <w:p w14:paraId="43203CC9">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31-40处基本不符合得71-75分；</w:t>
      </w:r>
    </w:p>
    <w:p w14:paraId="03B35FF4">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41-50处非常不符合得66-70分；</w:t>
      </w:r>
    </w:p>
    <w:p w14:paraId="20B90B10">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51-60处完全不符合得65分。</w:t>
      </w:r>
    </w:p>
    <w:p w14:paraId="33E73644">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三级道路：</w:t>
      </w:r>
    </w:p>
    <w:p w14:paraId="332AB88C">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1-15处完全符合得96-100分；</w:t>
      </w:r>
    </w:p>
    <w:p w14:paraId="5CDC5E23">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16-25处较好符合得86-95分；</w:t>
      </w:r>
    </w:p>
    <w:p w14:paraId="60DD9AD8">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26-35处基本符合得76-85分；</w:t>
      </w:r>
    </w:p>
    <w:p w14:paraId="5911019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36-45处基本不符合得71-75分；</w:t>
      </w:r>
    </w:p>
    <w:p w14:paraId="1425B5A6">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46-55处非常不符合得66-70分；</w:t>
      </w:r>
    </w:p>
    <w:p w14:paraId="7A47CBD2">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56-70处完全不符合得65分。</w:t>
      </w:r>
    </w:p>
    <w:p w14:paraId="5A72B490">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农村生活垃圾</w:t>
      </w:r>
      <w:r>
        <w:rPr>
          <w:rFonts w:hint="eastAsia" w:ascii="宋体" w:hAnsi="宋体" w:eastAsia="宋体" w:cs="宋体"/>
          <w:color w:val="auto"/>
          <w:sz w:val="24"/>
          <w:highlight w:val="none"/>
          <w:lang w:eastAsia="zh-CN"/>
          <w14:ligatures w14:val="none"/>
        </w:rPr>
        <w:t>转运</w:t>
      </w:r>
      <w:r>
        <w:rPr>
          <w:rFonts w:hint="eastAsia" w:ascii="宋体" w:hAnsi="宋体" w:eastAsia="宋体" w:cs="宋体"/>
          <w:color w:val="auto"/>
          <w:sz w:val="24"/>
          <w:highlight w:val="none"/>
          <w14:ligatures w14:val="none"/>
        </w:rPr>
        <w:t>标准</w:t>
      </w:r>
    </w:p>
    <w:p w14:paraId="0ABC4CE4">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生活垃圾每日一清运（20分）；</w:t>
      </w:r>
    </w:p>
    <w:p w14:paraId="257690B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垃圾桶投放口无满溢，周边30米范围内无生活垃圾（25分）；</w:t>
      </w:r>
    </w:p>
    <w:p w14:paraId="0B4AD8E2">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垃圾桶摆放整齐并保持清洁（15分）；</w:t>
      </w:r>
    </w:p>
    <w:p w14:paraId="361409AA">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杜绝垃圾焚烧、随意倾倒及填埋（30分）；</w:t>
      </w:r>
    </w:p>
    <w:p w14:paraId="56791B50">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5、人员及车辆应配备醒目标识，车辆外观保持清洁（10分）；</w:t>
      </w:r>
    </w:p>
    <w:p w14:paraId="65DD67E9">
      <w:pPr>
        <w:spacing w:after="0" w:line="240" w:lineRule="auto"/>
        <w:ind w:firstLine="480"/>
        <w:rPr>
          <w:rFonts w:hint="default" w:ascii="Times New Roman" w:hAnsi="Times New Roman" w:eastAsia="宋体" w:cs="Times New Roman"/>
          <w:color w:val="auto"/>
          <w:sz w:val="24"/>
          <w:szCs w:val="32"/>
          <w:highlight w:val="none"/>
          <w14:ligatures w14:val="none"/>
        </w:rPr>
      </w:pPr>
      <w:r>
        <w:rPr>
          <w:rFonts w:hint="default" w:ascii="Times New Roman" w:hAnsi="Times New Roman" w:eastAsia="宋体" w:cs="Times New Roman"/>
          <w:color w:val="auto"/>
          <w:sz w:val="24"/>
          <w:szCs w:val="32"/>
          <w:highlight w:val="none"/>
          <w:lang w:val="en-US" w:eastAsia="zh-CN"/>
          <w14:ligatures w14:val="none"/>
        </w:rPr>
        <w:t>乙方对考核结果有异议时，可于结果送达后2日内申请复核，甲方应在3个工作日内组织双方重新查验并书面答复。</w:t>
      </w:r>
    </w:p>
    <w:p w14:paraId="1007095E">
      <w:pPr>
        <w:tabs>
          <w:tab w:val="left" w:pos="900"/>
        </w:tabs>
        <w:spacing w:line="456" w:lineRule="auto"/>
        <w:ind w:left="0" w:firstLine="0"/>
        <w:jc w:val="both"/>
        <w:rPr>
          <w:rFonts w:ascii="宋体" w:hAnsi="宋体" w:eastAsia="宋体" w:cs="宋体"/>
          <w:color w:val="auto"/>
          <w:highlight w:val="none"/>
        </w:rPr>
      </w:pPr>
      <w:r>
        <w:rPr>
          <w:rFonts w:hint="eastAsia" w:ascii="宋体" w:hAnsi="宋体" w:eastAsia="宋体" w:cs="宋体"/>
          <w:b/>
          <w:bCs/>
          <w:color w:val="auto"/>
          <w:sz w:val="32"/>
          <w:szCs w:val="32"/>
          <w:highlight w:val="none"/>
          <w:lang w:val="zh-TW" w:eastAsia="zh-TW"/>
        </w:rPr>
        <w:t>二、廉政合同</w:t>
      </w:r>
    </w:p>
    <w:p w14:paraId="2C277C56">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甲方：</w:t>
      </w:r>
    </w:p>
    <w:p w14:paraId="4B64AA04">
      <w:pPr>
        <w:tabs>
          <w:tab w:val="left" w:pos="900"/>
        </w:tabs>
        <w:spacing w:line="456" w:lineRule="auto"/>
        <w:ind w:firstLine="482"/>
        <w:jc w:val="left"/>
        <w:rPr>
          <w:rFonts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t>乙方：</w:t>
      </w:r>
    </w:p>
    <w:p w14:paraId="494F28F7">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为贯彻落实党中央、国务院《关于实行党风廉政建设责任制的规定》，为了加强工程建设中的党风廉政建设，保证工程建设优质、高效、有序地进行，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eastAsia="zh-TW"/>
        </w:rPr>
        <w:t>（以下简称</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甲方</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），与承担</w:t>
      </w:r>
      <w:r>
        <w:rPr>
          <w:rFonts w:hint="eastAsia" w:ascii="宋体" w:hAnsi="宋体" w:eastAsia="宋体" w:cs="宋体"/>
          <w:b/>
          <w:bCs/>
          <w:color w:val="auto"/>
          <w:highlight w:val="none"/>
          <w:u w:val="single"/>
          <w:lang w:val="zh-TW" w:eastAsia="zh-TW"/>
        </w:rPr>
        <w:t>（项目名称）</w:t>
      </w:r>
      <w:r>
        <w:rPr>
          <w:rFonts w:hint="eastAsia" w:ascii="宋体" w:hAnsi="宋体" w:eastAsia="宋体" w:cs="宋体"/>
          <w:color w:val="auto"/>
          <w:highlight w:val="none"/>
          <w:lang w:val="zh-TW" w:eastAsia="zh-TW"/>
        </w:rPr>
        <w:t>的单位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zh-TW" w:eastAsia="zh-TW"/>
        </w:rPr>
        <w:t>（以下简称</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乙方</w:t>
      </w:r>
      <w:r>
        <w:rPr>
          <w:rFonts w:hint="eastAsia" w:ascii="宋体" w:hAnsi="宋体" w:eastAsia="宋体" w:cs="宋体"/>
          <w:color w:val="auto"/>
          <w:highlight w:val="none"/>
        </w:rPr>
        <w:t>”</w:t>
      </w:r>
      <w:r>
        <w:rPr>
          <w:rFonts w:hint="eastAsia" w:ascii="宋体" w:hAnsi="宋体" w:eastAsia="宋体" w:cs="宋体"/>
          <w:color w:val="auto"/>
          <w:highlight w:val="none"/>
          <w:lang w:val="zh-TW" w:eastAsia="zh-TW"/>
        </w:rPr>
        <w:t>），特订立如下合同。</w:t>
      </w:r>
    </w:p>
    <w:p w14:paraId="14D44CE1">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一、甲、乙双方约定</w:t>
      </w:r>
    </w:p>
    <w:p w14:paraId="3EDECD13">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zh-TW" w:eastAsia="zh-TW"/>
        </w:rPr>
        <w:t>、甲、乙双方应加强对本方人员的廉政监督，建立和健全廉政制度。</w:t>
      </w:r>
    </w:p>
    <w:p w14:paraId="6C3D1FF9">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、甲、乙双方有对本方人员开展廉政告知、廉政教育和职业道德教育的义务。</w:t>
      </w:r>
    </w:p>
    <w:p w14:paraId="35F3E86B">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zh-TW" w:eastAsia="zh-TW"/>
        </w:rPr>
        <w:t>、甲、乙双方及其工作人员应共同遵守国家和省、市以及行业主管部门关于加强基础设施建设管理以及党风廉政建设的各项规定。</w:t>
      </w:r>
    </w:p>
    <w:p w14:paraId="33E45E88">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zh-TW" w:eastAsia="zh-TW"/>
        </w:rPr>
        <w:t>、甲、乙双方以及工作人员应认真执行双方签订的廉政合同文件，自觉按合同办事。</w:t>
      </w:r>
    </w:p>
    <w:p w14:paraId="738D736B">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val="zh-TW" w:eastAsia="zh-TW"/>
        </w:rPr>
        <w:t>、除法律认定的商业秘密或合同文件另有规定之外，甲、乙双方的业务活动应坚持公开、公正、诚实、信用的原则，严禁损害国家和集体利益，严禁违反工程建设管理规章制度的不正当交易。</w:t>
      </w:r>
    </w:p>
    <w:p w14:paraId="7CCCE3BB">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zh-TW" w:eastAsia="zh-TW"/>
        </w:rPr>
        <w:t>、甲、乙双方如发现对方在业务活动中有不廉洁行为，有及时提醒对方并督促其纠正的权利和义务，并认真查处本方的违法违纪行为。</w:t>
      </w:r>
    </w:p>
    <w:p w14:paraId="44189DA9">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二、甲方在廉政建设方面的责任</w:t>
      </w:r>
    </w:p>
    <w:p w14:paraId="0FC16F09">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zh-TW" w:eastAsia="zh-TW"/>
        </w:rPr>
        <w:t>、甲方及其工作人员不得以任何形式向乙方索要和收受现金、有价证券、贵重物品等财物；对推辞不掉的礼金、有价证券和贵重物品等，应立即上缴纪检监察部门或廉政账户</w:t>
      </w:r>
      <w:r>
        <w:rPr>
          <w:rFonts w:hint="eastAsia" w:ascii="宋体" w:hAnsi="宋体" w:eastAsia="宋体" w:cs="宋体"/>
          <w:color w:val="auto"/>
          <w:highlight w:val="none"/>
        </w:rPr>
        <w:t>“510”</w:t>
      </w:r>
      <w:r>
        <w:rPr>
          <w:rFonts w:hint="eastAsia" w:ascii="宋体" w:hAnsi="宋体" w:eastAsia="宋体" w:cs="宋体"/>
          <w:color w:val="auto"/>
          <w:highlight w:val="none"/>
          <w:lang w:val="zh-TW" w:eastAsia="zh-TW"/>
        </w:rPr>
        <w:t>。</w:t>
      </w:r>
    </w:p>
    <w:p w14:paraId="52FE4D78">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、甲方不得在乙方报销任何费用。</w:t>
      </w:r>
    </w:p>
    <w:p w14:paraId="05112DF4">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zh-TW" w:eastAsia="zh-TW"/>
        </w:rPr>
        <w:t>、甲方工作人员不得参加乙方的宴请和旅游等活动；不得要求乙方为其提供吃、住、交通工具、通讯工具、高档办公用品等。</w:t>
      </w:r>
    </w:p>
    <w:p w14:paraId="0717D534">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zh-TW" w:eastAsia="zh-TW"/>
        </w:rPr>
        <w:t>、甲方及其工作人员不得要求或者接受乙方为其住房装修、婚丧嫁娶、亲属工作安排以及出国等提供方便。</w:t>
      </w:r>
    </w:p>
    <w:p w14:paraId="1A87178A">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val="zh-TW" w:eastAsia="zh-TW"/>
        </w:rPr>
        <w:t>、甲方及其工作人员不得要求乙方为其亲朋好友及有利害关系的人安排工作或劳务等经济活动。</w:t>
      </w:r>
    </w:p>
    <w:p w14:paraId="2F502C02">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zh-TW" w:eastAsia="zh-TW"/>
        </w:rPr>
        <w:t>、甲方及其工作人员不得滥用职权影响工程的质量、进度和安全。</w:t>
      </w:r>
    </w:p>
    <w:p w14:paraId="0C88DA6B">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7</w:t>
      </w:r>
      <w:r>
        <w:rPr>
          <w:rFonts w:hint="eastAsia" w:ascii="宋体" w:hAnsi="宋体" w:eastAsia="宋体" w:cs="宋体"/>
          <w:color w:val="auto"/>
          <w:highlight w:val="none"/>
          <w:lang w:val="zh-TW" w:eastAsia="zh-TW"/>
        </w:rPr>
        <w:t>、甲方及其工作人员不得与乙方私下进行交易。</w:t>
      </w:r>
    </w:p>
    <w:p w14:paraId="1C6316FB">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三、乙方在廉政建设方面的责任</w:t>
      </w:r>
    </w:p>
    <w:p w14:paraId="13DFA07B">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zh-TW" w:eastAsia="zh-TW"/>
        </w:rPr>
        <w:t>、乙方不得以任何理由向甲方及其工作人员馈赠礼金、礼品和有价证券等财产性权益。</w:t>
      </w:r>
    </w:p>
    <w:p w14:paraId="3A052628">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、乙方不得以任何名义为甲方及其工作人员报销任何不当费用。</w:t>
      </w:r>
    </w:p>
    <w:p w14:paraId="3E5185BD">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zh-TW" w:eastAsia="zh-TW"/>
        </w:rPr>
        <w:t>、乙方不得以任何理由邀请甲方工作人员参加吃、喝、玩、乐等活动。</w:t>
      </w:r>
    </w:p>
    <w:p w14:paraId="41735175">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zh-TW" w:eastAsia="zh-TW"/>
        </w:rPr>
        <w:t>、乙方不得为甲方单位或个人购置或提供通讯工具、交通工具、家电和高档办公用品等财物。</w:t>
      </w:r>
    </w:p>
    <w:p w14:paraId="03E8B351">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val="zh-TW" w:eastAsia="zh-TW"/>
        </w:rPr>
        <w:t>、乙方及其工作人员不得以任何理由与甲方进行私下交易。</w:t>
      </w:r>
    </w:p>
    <w:p w14:paraId="480C3278">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zh-TW" w:eastAsia="zh-TW"/>
        </w:rPr>
        <w:t>、乙方应及时与承包人、施工单位等签订相关廉政合同，接受各方监督。</w:t>
      </w:r>
    </w:p>
    <w:p w14:paraId="73EB1748">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四、违约责任</w:t>
      </w:r>
    </w:p>
    <w:p w14:paraId="5482A5F4">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zh-TW" w:eastAsia="zh-TW"/>
        </w:rPr>
        <w:t>、甲方若违反本《廉政合同》的，对违法违纪人员，将依法查处。</w:t>
      </w:r>
    </w:p>
    <w:p w14:paraId="1F41E1C2">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zh-TW" w:eastAsia="zh-TW"/>
        </w:rPr>
        <w:t>、乙方若违反本《廉政合同》的，视情节轻重，每次给予</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TW" w:eastAsia="zh-TW"/>
        </w:rPr>
        <w:t>元的违约罚款，若严重违反《廉政合同》，对违法违纪人员，将依法查处。</w:t>
      </w:r>
    </w:p>
    <w:p w14:paraId="086F2A3A">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五、对督查单位的约定和授权</w:t>
      </w:r>
    </w:p>
    <w:p w14:paraId="48C56293">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双方授权督查单位主持本合同执行情况的督查，提出在本合同规定范围内的裁定意见，执行本合同第四条所规定的处罚。</w:t>
      </w:r>
    </w:p>
    <w:p w14:paraId="4A74792A">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六、检查方式</w:t>
      </w:r>
    </w:p>
    <w:p w14:paraId="73132438">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p>
    <w:p w14:paraId="23BD8828">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七、本合同有效期：</w:t>
      </w:r>
      <w:r>
        <w:rPr>
          <w:rFonts w:hint="eastAsia" w:ascii="宋体" w:hAnsi="宋体" w:eastAsia="宋体" w:cs="宋体"/>
          <w:color w:val="auto"/>
          <w:highlight w:val="none"/>
          <w:u w:val="single"/>
          <w:lang w:val="zh-TW"/>
        </w:rPr>
        <w:t xml:space="preserve">       </w:t>
      </w:r>
      <w:r>
        <w:rPr>
          <w:rFonts w:hint="eastAsia" w:ascii="宋体" w:hAnsi="宋体" w:eastAsia="宋体" w:cs="宋体"/>
          <w:color w:val="auto"/>
          <w:highlight w:val="none"/>
          <w:lang w:val="zh-TW" w:eastAsia="zh-TW"/>
        </w:rPr>
        <w:t>年</w:t>
      </w:r>
      <w:r>
        <w:rPr>
          <w:rFonts w:hint="eastAsia" w:ascii="宋体" w:hAnsi="宋体" w:eastAsia="宋体" w:cs="宋体"/>
          <w:color w:val="auto"/>
          <w:highlight w:val="none"/>
          <w:u w:val="single"/>
          <w:lang w:val="zh-TW"/>
        </w:rPr>
        <w:t xml:space="preserve">    </w:t>
      </w:r>
      <w:r>
        <w:rPr>
          <w:rFonts w:hint="eastAsia" w:ascii="宋体" w:hAnsi="宋体" w:eastAsia="宋体" w:cs="宋体"/>
          <w:color w:val="auto"/>
          <w:highlight w:val="none"/>
          <w:lang w:val="zh-TW"/>
        </w:rPr>
        <w:t>月</w:t>
      </w:r>
      <w:r>
        <w:rPr>
          <w:rFonts w:hint="eastAsia" w:ascii="宋体" w:hAnsi="宋体" w:eastAsia="宋体" w:cs="宋体"/>
          <w:color w:val="auto"/>
          <w:highlight w:val="none"/>
          <w:u w:val="single"/>
          <w:lang w:val="zh-TW"/>
        </w:rPr>
        <w:t xml:space="preserve">    </w:t>
      </w:r>
      <w:r>
        <w:rPr>
          <w:rFonts w:hint="eastAsia" w:ascii="宋体" w:hAnsi="宋体" w:eastAsia="宋体" w:cs="宋体"/>
          <w:color w:val="auto"/>
          <w:highlight w:val="none"/>
          <w:lang w:val="zh-TW"/>
        </w:rPr>
        <w:t>日至</w:t>
      </w:r>
      <w:r>
        <w:rPr>
          <w:rFonts w:hint="eastAsia" w:ascii="宋体" w:hAnsi="宋体" w:eastAsia="宋体" w:cs="宋体"/>
          <w:color w:val="auto"/>
          <w:highlight w:val="none"/>
          <w:u w:val="single"/>
          <w:lang w:val="zh-TW"/>
        </w:rPr>
        <w:t xml:space="preserve">       </w:t>
      </w:r>
      <w:r>
        <w:rPr>
          <w:rFonts w:hint="eastAsia" w:ascii="宋体" w:hAnsi="宋体" w:eastAsia="宋体" w:cs="宋体"/>
          <w:color w:val="auto"/>
          <w:highlight w:val="none"/>
          <w:lang w:val="zh-TW"/>
        </w:rPr>
        <w:t>年</w:t>
      </w:r>
      <w:r>
        <w:rPr>
          <w:rFonts w:hint="eastAsia" w:ascii="宋体" w:hAnsi="宋体" w:eastAsia="宋体" w:cs="宋体"/>
          <w:color w:val="auto"/>
          <w:highlight w:val="none"/>
          <w:u w:val="single"/>
          <w:lang w:val="zh-TW"/>
        </w:rPr>
        <w:t xml:space="preserve">   </w:t>
      </w:r>
      <w:r>
        <w:rPr>
          <w:rFonts w:hint="eastAsia" w:ascii="宋体" w:hAnsi="宋体" w:eastAsia="宋体" w:cs="宋体"/>
          <w:color w:val="auto"/>
          <w:highlight w:val="none"/>
          <w:lang w:val="zh-TW"/>
        </w:rPr>
        <w:t>月</w:t>
      </w:r>
      <w:r>
        <w:rPr>
          <w:rFonts w:hint="eastAsia" w:ascii="宋体" w:hAnsi="宋体" w:eastAsia="宋体" w:cs="宋体"/>
          <w:color w:val="auto"/>
          <w:highlight w:val="none"/>
          <w:u w:val="single"/>
          <w:lang w:val="zh-TW"/>
        </w:rPr>
        <w:t xml:space="preserve">      </w:t>
      </w:r>
      <w:r>
        <w:rPr>
          <w:rFonts w:hint="eastAsia" w:ascii="宋体" w:hAnsi="宋体" w:eastAsia="宋体" w:cs="宋体"/>
          <w:color w:val="auto"/>
          <w:highlight w:val="none"/>
          <w:lang w:val="zh-TW"/>
        </w:rPr>
        <w:t>日</w:t>
      </w:r>
      <w:r>
        <w:rPr>
          <w:rFonts w:hint="eastAsia" w:ascii="宋体" w:hAnsi="宋体" w:eastAsia="宋体" w:cs="宋体"/>
          <w:color w:val="auto"/>
          <w:highlight w:val="none"/>
          <w:lang w:val="zh-TW" w:eastAsia="zh-TW"/>
        </w:rPr>
        <w:t>。</w:t>
      </w:r>
    </w:p>
    <w:p w14:paraId="72DCEE4F">
      <w:pPr>
        <w:tabs>
          <w:tab w:val="left" w:pos="900"/>
        </w:tabs>
        <w:spacing w:line="456" w:lineRule="auto"/>
        <w:ind w:firstLine="482"/>
        <w:jc w:val="left"/>
        <w:rPr>
          <w:rFonts w:ascii="宋体" w:hAnsi="宋体" w:eastAsia="宋体" w:cs="宋体"/>
          <w:color w:val="auto"/>
          <w:highlight w:val="none"/>
          <w:lang w:val="zh-TW" w:eastAsia="zh-TW"/>
        </w:rPr>
      </w:pPr>
      <w:r>
        <w:rPr>
          <w:rFonts w:hint="eastAsia" w:ascii="宋体" w:hAnsi="宋体" w:eastAsia="宋体" w:cs="宋体"/>
          <w:color w:val="auto"/>
          <w:highlight w:val="none"/>
          <w:lang w:val="zh-TW" w:eastAsia="zh-TW"/>
        </w:rPr>
        <w:t>八、本合同一式</w:t>
      </w:r>
      <w:r>
        <w:rPr>
          <w:rFonts w:hint="eastAsia" w:ascii="宋体" w:hAnsi="宋体" w:eastAsia="宋体" w:cs="宋体"/>
          <w:color w:val="auto"/>
          <w:highlight w:val="none"/>
          <w:lang w:val="en-US" w:eastAsia="zh-CN"/>
        </w:rPr>
        <w:t>肆</w:t>
      </w:r>
      <w:r>
        <w:rPr>
          <w:rFonts w:hint="eastAsia" w:ascii="宋体" w:hAnsi="宋体" w:eastAsia="宋体" w:cs="宋体"/>
          <w:color w:val="auto"/>
          <w:highlight w:val="none"/>
          <w:lang w:val="zh-TW" w:eastAsia="zh-TW"/>
        </w:rPr>
        <w:t>份，甲、乙双方各执贰份</w:t>
      </w:r>
      <w:r>
        <w:rPr>
          <w:rFonts w:hint="eastAsia" w:ascii="宋体" w:hAnsi="宋体" w:cs="宋体"/>
          <w:color w:val="auto"/>
          <w:highlight w:val="none"/>
          <w:lang w:val="en-US" w:eastAsia="zh-CN"/>
        </w:rPr>
        <w:t>,</w:t>
      </w:r>
      <w:r>
        <w:rPr>
          <w:rFonts w:hint="eastAsia" w:ascii="宋体" w:hAnsi="宋体" w:eastAsia="宋体" w:cs="宋体"/>
          <w:color w:val="auto"/>
          <w:sz w:val="24"/>
          <w:szCs w:val="24"/>
          <w:highlight w:val="none"/>
        </w:rPr>
        <w:t>具有同等法律效力</w:t>
      </w:r>
      <w:r>
        <w:rPr>
          <w:rFonts w:hint="eastAsia" w:ascii="宋体" w:hAnsi="宋体" w:eastAsia="宋体" w:cs="宋体"/>
          <w:color w:val="auto"/>
          <w:highlight w:val="none"/>
          <w:lang w:val="zh-TW" w:eastAsia="zh-TW"/>
        </w:rPr>
        <w:t>。</w:t>
      </w:r>
    </w:p>
    <w:p w14:paraId="0D6D13C7">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甲    方：（盖单位法人章）</w:t>
      </w:r>
    </w:p>
    <w:p w14:paraId="745D289A">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发包人现场管理机构代表（或委托代理人）：（签字）</w:t>
      </w:r>
    </w:p>
    <w:p w14:paraId="1194098E">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单位地址：</w:t>
      </w:r>
      <w:r>
        <w:rPr>
          <w:rFonts w:hint="eastAsia" w:ascii="宋体" w:hAnsi="宋体" w:eastAsia="宋体" w:cs="宋体"/>
          <w:color w:val="auto"/>
          <w:highlight w:val="none"/>
        </w:rPr>
        <w:t xml:space="preserve">                          </w:t>
      </w:r>
    </w:p>
    <w:p w14:paraId="111F0D94">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联系电话：</w:t>
      </w:r>
    </w:p>
    <w:p w14:paraId="556DCCA4">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签约日期：           年    月    日</w:t>
      </w:r>
    </w:p>
    <w:p w14:paraId="1A17D01D">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乙    方：（盖单位法人章）</w:t>
      </w:r>
    </w:p>
    <w:p w14:paraId="76527CE9">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法定代表人（或委托代理人）：（签字）</w:t>
      </w:r>
    </w:p>
    <w:p w14:paraId="10CE5107">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单位地址：</w:t>
      </w:r>
      <w:r>
        <w:rPr>
          <w:rFonts w:hint="eastAsia" w:ascii="宋体" w:hAnsi="宋体" w:eastAsia="宋体" w:cs="宋体"/>
          <w:color w:val="auto"/>
          <w:highlight w:val="none"/>
        </w:rPr>
        <w:t xml:space="preserve">                          </w:t>
      </w:r>
    </w:p>
    <w:p w14:paraId="7D0626BF">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联系电话：</w:t>
      </w:r>
    </w:p>
    <w:p w14:paraId="2D99A7DF">
      <w:pPr>
        <w:tabs>
          <w:tab w:val="left" w:pos="900"/>
        </w:tabs>
        <w:spacing w:line="456" w:lineRule="auto"/>
        <w:ind w:firstLine="482"/>
        <w:jc w:val="left"/>
        <w:rPr>
          <w:rFonts w:ascii="宋体" w:hAnsi="宋体" w:eastAsia="宋体" w:cs="宋体"/>
          <w:color w:val="auto"/>
          <w:highlight w:val="none"/>
        </w:rPr>
      </w:pPr>
      <w:r>
        <w:rPr>
          <w:rFonts w:hint="eastAsia" w:ascii="宋体" w:hAnsi="宋体" w:eastAsia="宋体" w:cs="宋体"/>
          <w:color w:val="auto"/>
          <w:highlight w:val="none"/>
          <w:lang w:val="zh-TW" w:eastAsia="zh-TW"/>
        </w:rPr>
        <w:t>签约日期：           年    月    日</w:t>
      </w:r>
    </w:p>
    <w:p w14:paraId="2B091449">
      <w:pPr>
        <w:spacing w:line="560" w:lineRule="exact"/>
        <w:jc w:val="center"/>
        <w:rPr>
          <w:rFonts w:ascii="宋体" w:hAnsi="宋体" w:eastAsia="宋体" w:cs="宋体"/>
          <w:b/>
          <w:bCs/>
          <w:color w:val="auto"/>
          <w:sz w:val="44"/>
          <w:szCs w:val="44"/>
          <w:highlight w:val="none"/>
        </w:rPr>
      </w:pPr>
    </w:p>
    <w:p w14:paraId="3541E337">
      <w:pPr>
        <w:spacing w:line="560" w:lineRule="exact"/>
        <w:rPr>
          <w:rFonts w:ascii="宋体" w:hAnsi="宋体" w:eastAsia="宋体" w:cs="宋体"/>
          <w:b/>
          <w:bCs/>
          <w:color w:val="auto"/>
          <w:sz w:val="44"/>
          <w:szCs w:val="44"/>
          <w:highlight w:val="none"/>
        </w:rPr>
      </w:pPr>
    </w:p>
    <w:p w14:paraId="1261FBE5">
      <w:pPr>
        <w:spacing w:line="560" w:lineRule="exact"/>
        <w:jc w:val="center"/>
        <w:rPr>
          <w:rFonts w:ascii="宋体" w:hAnsi="宋体" w:eastAsia="宋体" w:cs="宋体"/>
          <w:b/>
          <w:bCs/>
          <w:color w:val="auto"/>
          <w:sz w:val="36"/>
          <w:szCs w:val="36"/>
          <w:highlight w:val="none"/>
        </w:rPr>
      </w:pPr>
    </w:p>
    <w:p w14:paraId="6B0230BE">
      <w:pPr>
        <w:spacing w:line="560" w:lineRule="exact"/>
        <w:jc w:val="center"/>
        <w:rPr>
          <w:rFonts w:ascii="宋体" w:hAnsi="宋体" w:eastAsia="宋体" w:cs="宋体"/>
          <w:b/>
          <w:bCs/>
          <w:color w:val="auto"/>
          <w:sz w:val="36"/>
          <w:szCs w:val="36"/>
          <w:highlight w:val="none"/>
        </w:rPr>
      </w:pPr>
    </w:p>
    <w:p w14:paraId="29DF5345">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p>
    <w:p w14:paraId="6F63C01B">
      <w:pPr>
        <w:ind w:firstLine="0"/>
        <w:jc w:val="center"/>
        <w:outlineLvl w:val="0"/>
        <w:rPr>
          <w:rFonts w:ascii="宋体" w:hAnsi="宋体" w:eastAsia="宋体" w:cs="宋体"/>
          <w:b/>
          <w:bCs/>
          <w:color w:val="auto"/>
          <w:sz w:val="36"/>
          <w:szCs w:val="36"/>
          <w:highlight w:val="none"/>
        </w:rPr>
      </w:pPr>
      <w:r>
        <w:rPr>
          <w:rFonts w:hint="eastAsia" w:ascii="宋体" w:hAnsi="宋体" w:eastAsia="宋体" w:cs="宋体"/>
          <w:b/>
          <w:bCs/>
          <w:color w:val="auto"/>
          <w:sz w:val="44"/>
          <w:szCs w:val="44"/>
          <w:highlight w:val="none"/>
        </w:rPr>
        <w:t>第四章 项目需求</w:t>
      </w:r>
    </w:p>
    <w:p w14:paraId="74E1C87E">
      <w:pPr>
        <w:widowControl w:val="0"/>
        <w:spacing w:line="360" w:lineRule="auto"/>
        <w:ind w:firstLine="422"/>
        <w:jc w:val="both"/>
        <w:rPr>
          <w:rFonts w:hint="default" w:ascii="宋体" w:hAnsi="宋体" w:eastAsia="宋体" w:cs="宋体"/>
          <w:b/>
          <w:bCs/>
          <w:color w:val="auto"/>
          <w:sz w:val="21"/>
          <w:szCs w:val="21"/>
          <w:highlight w:val="none"/>
          <w:lang w:val="zh-TW" w:eastAsia="zh-TW" w:bidi="ar-SA"/>
        </w:rPr>
      </w:pPr>
      <w:r>
        <w:rPr>
          <w:rFonts w:hint="eastAsia" w:ascii="宋体" w:hAnsi="宋体" w:eastAsia="宋体" w:cs="宋体"/>
          <w:b/>
          <w:bCs/>
          <w:color w:val="auto"/>
          <w:sz w:val="24"/>
          <w:szCs w:val="24"/>
          <w:highlight w:val="none"/>
          <w:lang w:val="zh-TW" w:eastAsia="zh-TW" w:bidi="ar-SA"/>
        </w:rPr>
        <w:t>说明：项目采购方式为竞争性磋商，项目属性为服务，采购标的对应的中小企业划分标准所属行业为</w:t>
      </w:r>
      <w:r>
        <w:rPr>
          <w:rFonts w:hint="eastAsia" w:ascii="宋体" w:hAnsi="宋体" w:eastAsia="宋体" w:cs="宋体"/>
          <w:b/>
          <w:bCs/>
          <w:color w:val="auto"/>
          <w:sz w:val="24"/>
          <w:szCs w:val="24"/>
          <w:highlight w:val="none"/>
          <w:u w:val="single"/>
          <w:lang w:val="zh-TW" w:eastAsia="zh-TW" w:bidi="ar-SA"/>
        </w:rPr>
        <w:t>其他未列明行业</w:t>
      </w:r>
      <w:r>
        <w:rPr>
          <w:rFonts w:hint="eastAsia" w:ascii="宋体" w:hAnsi="宋体" w:eastAsia="宋体" w:cs="宋体"/>
          <w:b/>
          <w:bCs/>
          <w:color w:val="auto"/>
          <w:sz w:val="24"/>
          <w:szCs w:val="24"/>
          <w:highlight w:val="none"/>
          <w:lang w:val="zh-TW" w:eastAsia="zh-TW" w:bidi="ar-SA"/>
        </w:rPr>
        <w:t>。</w:t>
      </w:r>
    </w:p>
    <w:p w14:paraId="11A229E2">
      <w:pPr>
        <w:spacing w:line="500" w:lineRule="exact"/>
        <w:ind w:firstLine="480"/>
        <w:jc w:val="left"/>
        <w:rPr>
          <w:rFonts w:hint="eastAsia" w:ascii="Calibri" w:hAnsi="Calibri" w:eastAsia="Arial" w:cs="Times New Roman"/>
          <w:sz w:val="24"/>
          <w:szCs w:val="24"/>
          <w:highlight w:val="none"/>
        </w:rPr>
      </w:pPr>
      <w:r>
        <w:rPr>
          <w:rFonts w:hint="eastAsia" w:ascii="Calibri" w:hAnsi="Calibri" w:eastAsia="Arial" w:cs="Times New Roman"/>
          <w:b/>
          <w:bCs/>
          <w:sz w:val="24"/>
          <w:szCs w:val="24"/>
          <w:highlight w:val="none"/>
        </w:rPr>
        <w:t>1、根据《政府采购需求管理办法》等有关规定，采购人确定采购需求。</w:t>
      </w:r>
    </w:p>
    <w:p w14:paraId="6A0EA27B">
      <w:pPr>
        <w:spacing w:line="500" w:lineRule="exact"/>
        <w:ind w:firstLine="480"/>
        <w:jc w:val="left"/>
        <w:rPr>
          <w:rFonts w:ascii="Calibri" w:hAnsi="Calibri" w:eastAsia="Arial" w:cs="Times New Roman"/>
          <w:sz w:val="24"/>
          <w:szCs w:val="24"/>
          <w:highlight w:val="none"/>
        </w:rPr>
      </w:pPr>
      <w:r>
        <w:rPr>
          <w:rFonts w:hint="eastAsia" w:ascii="Calibri" w:hAnsi="Calibri" w:eastAsia="Arial" w:cs="Times New Roman"/>
          <w:sz w:val="24"/>
          <w:szCs w:val="24"/>
          <w:highlight w:val="none"/>
        </w:rPr>
        <w:t>2、</w:t>
      </w:r>
      <w:r>
        <w:rPr>
          <w:rFonts w:hint="eastAsia" w:ascii="Calibri" w:hAnsi="Calibri" w:eastAsia="Arial" w:cs="Times New Roman"/>
          <w:b/>
          <w:sz w:val="24"/>
          <w:szCs w:val="24"/>
          <w:highlight w:val="none"/>
        </w:rPr>
        <w:t>本招</w:t>
      </w:r>
      <w:r>
        <w:rPr>
          <w:rFonts w:hint="eastAsia" w:ascii="Calibri" w:hAnsi="Calibri" w:eastAsia="Arial" w:cs="Times New Roman"/>
          <w:b/>
          <w:color w:val="auto"/>
          <w:sz w:val="24"/>
          <w:szCs w:val="24"/>
          <w:highlight w:val="none"/>
        </w:rPr>
        <w:t>标文件中</w:t>
      </w:r>
      <w:r>
        <w:rPr>
          <w:rFonts w:hint="eastAsia" w:ascii="Calibri" w:hAnsi="Calibri" w:eastAsia="Arial" w:cs="Times New Roman"/>
          <w:b/>
          <w:bCs w:val="0"/>
          <w:i/>
          <w:iCs w:val="0"/>
          <w:color w:val="auto"/>
          <w:sz w:val="24"/>
          <w:szCs w:val="24"/>
          <w:highlight w:val="none"/>
          <w:u w:val="single"/>
        </w:rPr>
        <w:t>斜体且有下划线</w:t>
      </w:r>
      <w:r>
        <w:rPr>
          <w:rFonts w:hint="eastAsia" w:ascii="Calibri" w:hAnsi="Calibri" w:eastAsia="Arial" w:cs="Times New Roman"/>
          <w:b/>
          <w:bCs w:val="0"/>
          <w:i/>
          <w:color w:val="auto"/>
          <w:sz w:val="24"/>
          <w:szCs w:val="24"/>
          <w:highlight w:val="none"/>
          <w:u w:val="single"/>
        </w:rPr>
        <w:t>部分</w:t>
      </w:r>
      <w:r>
        <w:rPr>
          <w:rFonts w:hint="eastAsia" w:ascii="Calibri" w:hAnsi="Calibri" w:eastAsia="Arial" w:cs="Times New Roman"/>
          <w:b/>
          <w:sz w:val="24"/>
          <w:szCs w:val="24"/>
          <w:highlight w:val="none"/>
        </w:rPr>
        <w:t>为实质性要求和条件</w:t>
      </w:r>
      <w:r>
        <w:rPr>
          <w:rFonts w:hint="eastAsia" w:ascii="Calibri" w:hAnsi="Calibri" w:eastAsia="Arial" w:cs="Times New Roman"/>
          <w:sz w:val="24"/>
          <w:szCs w:val="24"/>
          <w:highlight w:val="none"/>
        </w:rPr>
        <w:t>，由采购人根据实际情况设置，投标人须逐条明确作出满足实质性要求和条件的响应，否则将按无效响应处理。</w:t>
      </w:r>
    </w:p>
    <w:tbl>
      <w:tblPr>
        <w:tblStyle w:val="4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3843B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8505" w:type="dxa"/>
            <w:gridSpan w:val="2"/>
            <w:tcBorders>
              <w:top w:val="nil"/>
              <w:left w:val="nil"/>
              <w:bottom w:val="single" w:color="auto" w:sz="4" w:space="0"/>
              <w:right w:val="nil"/>
            </w:tcBorders>
            <w:noWrap w:val="0"/>
            <w:vAlign w:val="center"/>
          </w:tcPr>
          <w:p w14:paraId="1BE2AFB2">
            <w:pPr>
              <w:spacing w:line="500" w:lineRule="exact"/>
              <w:ind w:firstLine="0"/>
              <w:jc w:val="center"/>
              <w:rPr>
                <w:rFonts w:ascii="黑体" w:hAnsi="黑体" w:eastAsia="黑体" w:cs="Times New Roman"/>
                <w:sz w:val="24"/>
                <w:szCs w:val="24"/>
                <w:highlight w:val="none"/>
              </w:rPr>
            </w:pPr>
            <w:r>
              <w:rPr>
                <w:rFonts w:ascii="黑体" w:hAnsi="黑体" w:eastAsia="黑体" w:cs="Times New Roman"/>
                <w:sz w:val="24"/>
                <w:szCs w:val="24"/>
                <w:highlight w:val="none"/>
              </w:rPr>
              <w:t>采购需求中须满足的实质性要求和条件</w:t>
            </w:r>
          </w:p>
        </w:tc>
      </w:tr>
      <w:tr w14:paraId="2E2F7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tcPr>
          <w:p w14:paraId="393F4655">
            <w:pPr>
              <w:spacing w:line="500" w:lineRule="exact"/>
              <w:ind w:firstLine="0"/>
              <w:jc w:val="center"/>
              <w:rPr>
                <w:rFonts w:ascii="Calibri" w:hAnsi="Calibri" w:eastAsia="Arial" w:cs="Times New Roman"/>
                <w:b/>
                <w:sz w:val="24"/>
                <w:szCs w:val="24"/>
                <w:highlight w:val="none"/>
              </w:rPr>
            </w:pPr>
            <w:r>
              <w:rPr>
                <w:rFonts w:ascii="Calibri" w:hAnsi="Calibri" w:eastAsia="Arial" w:cs="Times New Roman"/>
                <w:b/>
                <w:sz w:val="24"/>
                <w:szCs w:val="24"/>
                <w:highlight w:val="none"/>
              </w:rPr>
              <w:t>序号</w:t>
            </w:r>
          </w:p>
        </w:tc>
        <w:tc>
          <w:tcPr>
            <w:tcW w:w="7689" w:type="dxa"/>
            <w:tcBorders>
              <w:top w:val="single" w:color="auto" w:sz="4" w:space="0"/>
            </w:tcBorders>
            <w:noWrap w:val="0"/>
          </w:tcPr>
          <w:p w14:paraId="124C1F9D">
            <w:pPr>
              <w:spacing w:line="500" w:lineRule="exact"/>
              <w:ind w:firstLine="0"/>
              <w:jc w:val="center"/>
              <w:rPr>
                <w:rFonts w:ascii="Calibri" w:hAnsi="Calibri" w:eastAsia="Arial" w:cs="Times New Roman"/>
                <w:b/>
                <w:color w:val="auto"/>
                <w:sz w:val="24"/>
                <w:szCs w:val="24"/>
                <w:highlight w:val="none"/>
              </w:rPr>
            </w:pPr>
            <w:r>
              <w:rPr>
                <w:rFonts w:ascii="Calibri" w:hAnsi="Calibri" w:eastAsia="Arial" w:cs="Times New Roman"/>
                <w:b/>
                <w:color w:val="auto"/>
                <w:sz w:val="24"/>
                <w:szCs w:val="24"/>
                <w:highlight w:val="none"/>
              </w:rPr>
              <w:t>实质性要求和条件</w:t>
            </w:r>
          </w:p>
        </w:tc>
      </w:tr>
      <w:tr w14:paraId="293C0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3" w:hRule="atLeast"/>
          <w:jc w:val="center"/>
        </w:trPr>
        <w:tc>
          <w:tcPr>
            <w:tcW w:w="816" w:type="dxa"/>
            <w:tcBorders>
              <w:top w:val="single" w:color="auto" w:sz="4" w:space="0"/>
            </w:tcBorders>
            <w:noWrap w:val="0"/>
          </w:tcPr>
          <w:p w14:paraId="5B5FF398">
            <w:pPr>
              <w:spacing w:line="500" w:lineRule="exact"/>
              <w:ind w:firstLine="0"/>
              <w:jc w:val="center"/>
              <w:rPr>
                <w:rFonts w:hint="eastAsia" w:ascii="Calibri" w:hAnsi="Calibri" w:eastAsia="宋体" w:cs="Times New Roman"/>
                <w:b/>
                <w:i w:val="0"/>
                <w:iCs w:val="0"/>
                <w:sz w:val="24"/>
                <w:szCs w:val="24"/>
                <w:highlight w:val="none"/>
                <w:lang w:val="en-US" w:eastAsia="zh-CN"/>
              </w:rPr>
            </w:pPr>
            <w:r>
              <w:rPr>
                <w:rFonts w:hint="eastAsia" w:ascii="Calibri" w:hAnsi="Calibri" w:eastAsia="宋体" w:cs="Times New Roman"/>
                <w:b/>
                <w:bCs w:val="0"/>
                <w:i w:val="0"/>
                <w:iCs w:val="0"/>
                <w:sz w:val="24"/>
                <w:szCs w:val="24"/>
                <w:highlight w:val="none"/>
                <w:lang w:val="en-US" w:eastAsia="zh-CN"/>
              </w:rPr>
              <w:t>1</w:t>
            </w:r>
          </w:p>
        </w:tc>
        <w:tc>
          <w:tcPr>
            <w:tcW w:w="7689" w:type="dxa"/>
            <w:tcBorders>
              <w:top w:val="single" w:color="auto" w:sz="4" w:space="0"/>
            </w:tcBorders>
            <w:noWrap w:val="0"/>
          </w:tcPr>
          <w:p w14:paraId="36594836">
            <w:pPr>
              <w:keepNext w:val="0"/>
              <w:keepLines w:val="0"/>
              <w:pageBreakBefore w:val="0"/>
              <w:widowControl w:val="0"/>
              <w:spacing w:line="288" w:lineRule="auto"/>
              <w:ind w:left="0" w:firstLine="480"/>
              <w:rPr>
                <w:rFonts w:hint="eastAsia" w:ascii="宋体" w:hAnsi="宋体" w:eastAsia="Arial" w:cs="Times New Roman"/>
                <w:b w:val="0"/>
                <w:bCs w:val="0"/>
                <w:i/>
                <w:iCs/>
                <w:color w:val="auto"/>
                <w:sz w:val="24"/>
                <w:szCs w:val="24"/>
                <w:highlight w:val="none"/>
                <w:u w:val="single"/>
              </w:rPr>
            </w:pPr>
            <w:r>
              <w:rPr>
                <w:rFonts w:hint="eastAsia" w:ascii="宋体" w:hAnsi="宋体" w:eastAsia="Arial" w:cs="Times New Roman"/>
                <w:b w:val="0"/>
                <w:bCs w:val="0"/>
                <w:i/>
                <w:iCs/>
                <w:color w:val="auto"/>
                <w:sz w:val="24"/>
                <w:szCs w:val="24"/>
                <w:highlight w:val="none"/>
                <w:u w:val="single"/>
                <w:lang w:val="en-US" w:eastAsia="zh-CN"/>
              </w:rPr>
              <w:t>管理</w:t>
            </w:r>
            <w:r>
              <w:rPr>
                <w:rFonts w:hint="eastAsia" w:ascii="宋体" w:hAnsi="宋体" w:eastAsia="Arial" w:cs="Times New Roman"/>
                <w:b w:val="0"/>
                <w:bCs w:val="0"/>
                <w:i/>
                <w:iCs/>
                <w:color w:val="auto"/>
                <w:sz w:val="24"/>
                <w:szCs w:val="24"/>
                <w:highlight w:val="none"/>
                <w:u w:val="single"/>
              </w:rPr>
              <w:t>人员：项目经理</w:t>
            </w:r>
            <w:r>
              <w:rPr>
                <w:rFonts w:hint="eastAsia" w:ascii="宋体" w:hAnsi="宋体" w:eastAsia="Arial" w:cs="Times New Roman"/>
                <w:b w:val="0"/>
                <w:bCs w:val="0"/>
                <w:i/>
                <w:iCs/>
                <w:color w:val="auto"/>
                <w:sz w:val="24"/>
                <w:szCs w:val="24"/>
                <w:highlight w:val="none"/>
                <w:u w:val="single"/>
                <w:lang w:val="en-US" w:eastAsia="zh-CN"/>
              </w:rPr>
              <w:t>1名</w:t>
            </w:r>
            <w:r>
              <w:rPr>
                <w:rFonts w:hint="eastAsia" w:ascii="宋体" w:hAnsi="宋体" w:eastAsia="Arial" w:cs="Times New Roman"/>
                <w:b w:val="0"/>
                <w:bCs w:val="0"/>
                <w:i/>
                <w:iCs/>
                <w:color w:val="auto"/>
                <w:sz w:val="24"/>
                <w:szCs w:val="24"/>
                <w:highlight w:val="none"/>
                <w:u w:val="single"/>
              </w:rPr>
              <w:t>、现场主管</w:t>
            </w:r>
            <w:r>
              <w:rPr>
                <w:rFonts w:hint="eastAsia" w:ascii="宋体" w:hAnsi="宋体" w:eastAsia="Arial" w:cs="Times New Roman"/>
                <w:b w:val="0"/>
                <w:bCs w:val="0"/>
                <w:i/>
                <w:iCs/>
                <w:color w:val="auto"/>
                <w:sz w:val="24"/>
                <w:szCs w:val="24"/>
                <w:highlight w:val="none"/>
                <w:u w:val="single"/>
                <w:lang w:val="en-US" w:eastAsia="zh-CN"/>
              </w:rPr>
              <w:t>1名；车辆：驾驶员2名（驾驶人员</w:t>
            </w:r>
            <w:r>
              <w:rPr>
                <w:rFonts w:hint="eastAsia" w:ascii="宋体" w:hAnsi="宋体" w:eastAsia="Arial" w:cs="Times New Roman"/>
                <w:b w:val="0"/>
                <w:bCs w:val="0"/>
                <w:i/>
                <w:iCs/>
                <w:color w:val="auto"/>
                <w:sz w:val="24"/>
                <w:szCs w:val="24"/>
                <w:highlight w:val="none"/>
                <w:u w:val="single"/>
              </w:rPr>
              <w:t>持有相应驾驶证，熟悉作业车辆性能和辖区路线</w:t>
            </w:r>
            <w:r>
              <w:rPr>
                <w:rFonts w:hint="eastAsia" w:ascii="宋体" w:hAnsi="宋体" w:eastAsia="Arial" w:cs="Times New Roman"/>
                <w:b w:val="0"/>
                <w:bCs w:val="0"/>
                <w:i/>
                <w:iCs/>
                <w:color w:val="auto"/>
                <w:sz w:val="24"/>
                <w:szCs w:val="24"/>
                <w:highlight w:val="none"/>
                <w:u w:val="single"/>
                <w:lang w:eastAsia="zh-CN"/>
              </w:rPr>
              <w:t>）</w:t>
            </w:r>
            <w:r>
              <w:rPr>
                <w:rFonts w:hint="eastAsia" w:ascii="宋体" w:hAnsi="宋体" w:eastAsia="Arial" w:cs="Times New Roman"/>
                <w:b w:val="0"/>
                <w:bCs w:val="0"/>
                <w:i/>
                <w:iCs/>
                <w:color w:val="auto"/>
                <w:sz w:val="24"/>
                <w:szCs w:val="24"/>
                <w:highlight w:val="none"/>
                <w:u w:val="single"/>
              </w:rPr>
              <w:t>。</w:t>
            </w:r>
            <w:r>
              <w:rPr>
                <w:rFonts w:hint="eastAsia" w:ascii="宋体" w:hAnsi="宋体" w:eastAsia="Arial" w:cs="Times New Roman"/>
                <w:b w:val="0"/>
                <w:bCs w:val="0"/>
                <w:i/>
                <w:iCs/>
                <w:color w:val="auto"/>
                <w:sz w:val="24"/>
                <w:szCs w:val="24"/>
                <w:highlight w:val="none"/>
                <w:u w:val="single"/>
                <w:lang w:val="en-US" w:eastAsia="zh-CN"/>
              </w:rPr>
              <w:t>跟车挂桶1名；道路保洁人员26名、厕所保洁人员3名；垃圾中转站操作员2名。</w:t>
            </w:r>
            <w:r>
              <w:rPr>
                <w:rFonts w:hint="eastAsia" w:ascii="宋体" w:hAnsi="宋体" w:eastAsia="Arial" w:cs="Times New Roman"/>
                <w:b w:val="0"/>
                <w:bCs w:val="0"/>
                <w:i/>
                <w:iCs/>
                <w:color w:val="auto"/>
                <w:sz w:val="24"/>
                <w:szCs w:val="24"/>
                <w:highlight w:val="none"/>
                <w:u w:val="single"/>
              </w:rPr>
              <w:t>需经过岗前培训，着装统一规范，遵守安全作业规程。供应商需为所有员工购买社会保险，保障其合法权益。</w:t>
            </w:r>
          </w:p>
          <w:p w14:paraId="424264CA">
            <w:pPr>
              <w:keepNext w:val="0"/>
              <w:keepLines w:val="0"/>
              <w:pageBreakBefore w:val="0"/>
              <w:widowControl w:val="0"/>
              <w:spacing w:line="288" w:lineRule="auto"/>
              <w:ind w:firstLine="482"/>
              <w:rPr>
                <w:rFonts w:ascii="Calibri" w:hAnsi="Calibri" w:eastAsia="Arial" w:cs="Times New Roman"/>
                <w:b w:val="0"/>
                <w:bCs w:val="0"/>
                <w:i/>
                <w:iCs/>
                <w:color w:val="auto"/>
                <w:sz w:val="24"/>
                <w:szCs w:val="24"/>
                <w:highlight w:val="none"/>
              </w:rPr>
            </w:pPr>
            <w:r>
              <w:rPr>
                <w:rFonts w:hint="eastAsia" w:ascii="宋体" w:hAnsi="宋体" w:eastAsia="Arial" w:cs="Times New Roman"/>
                <w:b w:val="0"/>
                <w:bCs w:val="0"/>
                <w:i/>
                <w:iCs/>
                <w:color w:val="auto"/>
                <w:sz w:val="24"/>
                <w:szCs w:val="24"/>
                <w:highlight w:val="none"/>
                <w:u w:val="single"/>
                <w:lang w:val="en-US" w:eastAsia="zh-CN"/>
              </w:rPr>
              <w:t>注：以上数量均为最低要求，具体人员数量按实际情况及甲方要求配备，合同执行过程中，如增加工作人员，合同价款不予调整，请投标人综合考虑。</w:t>
            </w:r>
          </w:p>
        </w:tc>
      </w:tr>
      <w:tr w14:paraId="347B9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16" w:type="dxa"/>
            <w:noWrap w:val="0"/>
          </w:tcPr>
          <w:p w14:paraId="231C44B3">
            <w:pPr>
              <w:spacing w:line="500" w:lineRule="exact"/>
              <w:ind w:firstLine="0"/>
              <w:jc w:val="center"/>
              <w:rPr>
                <w:rFonts w:hint="eastAsia" w:ascii="Calibri" w:hAnsi="Calibri" w:eastAsia="Arial" w:cs="Times New Roman"/>
                <w:b w:val="0"/>
                <w:bCs/>
                <w:i w:val="0"/>
                <w:iCs w:val="0"/>
                <w:sz w:val="24"/>
                <w:szCs w:val="24"/>
                <w:highlight w:val="none"/>
                <w:lang w:val="en-US" w:eastAsia="zh-CN"/>
              </w:rPr>
            </w:pPr>
            <w:r>
              <w:rPr>
                <w:rFonts w:hint="eastAsia" w:ascii="Calibri" w:hAnsi="Calibri" w:eastAsia="Arial" w:cs="Times New Roman"/>
                <w:b/>
                <w:bCs w:val="0"/>
                <w:i w:val="0"/>
                <w:iCs w:val="0"/>
                <w:sz w:val="24"/>
                <w:szCs w:val="24"/>
                <w:highlight w:val="none"/>
                <w:lang w:val="en-US" w:eastAsia="zh-CN"/>
              </w:rPr>
              <w:t>2</w:t>
            </w:r>
          </w:p>
        </w:tc>
        <w:tc>
          <w:tcPr>
            <w:tcW w:w="7689" w:type="dxa"/>
            <w:noWrap w:val="0"/>
          </w:tcPr>
          <w:p w14:paraId="05179E92">
            <w:pPr>
              <w:spacing w:line="500" w:lineRule="exact"/>
              <w:ind w:firstLine="482"/>
              <w:jc w:val="left"/>
              <w:rPr>
                <w:rFonts w:hint="eastAsia" w:ascii="Calibri" w:hAnsi="Calibri" w:eastAsia="Arial" w:cs="Times New Roman"/>
                <w:b w:val="0"/>
                <w:bCs w:val="0"/>
                <w:i/>
                <w:iCs/>
                <w:color w:val="auto"/>
                <w:sz w:val="24"/>
                <w:szCs w:val="24"/>
                <w:highlight w:val="none"/>
                <w:u w:val="single"/>
              </w:rPr>
            </w:pPr>
            <w:r>
              <w:rPr>
                <w:rFonts w:hint="eastAsia" w:ascii="Calibri" w:hAnsi="Calibri" w:eastAsia="Arial" w:cs="Times New Roman"/>
                <w:b w:val="0"/>
                <w:bCs w:val="0"/>
                <w:i/>
                <w:iCs/>
                <w:color w:val="auto"/>
                <w:sz w:val="24"/>
                <w:szCs w:val="24"/>
                <w:highlight w:val="none"/>
                <w:u w:val="single"/>
                <w:lang w:val="en-US" w:eastAsia="zh-CN"/>
              </w:rPr>
              <w:t>服务期限</w:t>
            </w:r>
            <w:r>
              <w:rPr>
                <w:rFonts w:hint="eastAsia" w:ascii="Calibri" w:hAnsi="Calibri" w:eastAsia="Arial" w:cs="Times New Roman"/>
                <w:b w:val="0"/>
                <w:bCs w:val="0"/>
                <w:i/>
                <w:iCs/>
                <w:color w:val="auto"/>
                <w:sz w:val="24"/>
                <w:szCs w:val="24"/>
                <w:highlight w:val="none"/>
                <w:u w:val="single"/>
              </w:rPr>
              <w:t>：</w:t>
            </w:r>
            <w:r>
              <w:rPr>
                <w:rFonts w:hint="eastAsia" w:ascii="Calibri" w:hAnsi="Calibri" w:eastAsia="宋体" w:cs="Times New Roman"/>
                <w:b w:val="0"/>
                <w:bCs w:val="0"/>
                <w:i/>
                <w:iCs/>
                <w:color w:val="auto"/>
                <w:sz w:val="24"/>
                <w:szCs w:val="24"/>
                <w:highlight w:val="none"/>
                <w:u w:val="single"/>
                <w:lang w:eastAsia="zh-CN"/>
              </w:rPr>
              <w:t>一</w:t>
            </w:r>
            <w:r>
              <w:rPr>
                <w:rFonts w:hint="eastAsia" w:ascii="Calibri" w:hAnsi="Calibri" w:eastAsia="Arial" w:cs="Times New Roman"/>
                <w:b w:val="0"/>
                <w:bCs w:val="0"/>
                <w:i/>
                <w:iCs/>
                <w:color w:val="auto"/>
                <w:sz w:val="24"/>
                <w:szCs w:val="24"/>
                <w:highlight w:val="none"/>
                <w:u w:val="single"/>
                <w:lang w:val="en-US" w:eastAsia="zh-CN"/>
              </w:rPr>
              <w:t>年</w:t>
            </w:r>
          </w:p>
        </w:tc>
      </w:tr>
      <w:tr w14:paraId="1D19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9" w:hRule="atLeast"/>
          <w:jc w:val="center"/>
        </w:trPr>
        <w:tc>
          <w:tcPr>
            <w:tcW w:w="816" w:type="dxa"/>
            <w:noWrap w:val="0"/>
          </w:tcPr>
          <w:p w14:paraId="5F37074B">
            <w:pPr>
              <w:spacing w:line="500" w:lineRule="exact"/>
              <w:ind w:firstLine="0"/>
              <w:jc w:val="center"/>
              <w:rPr>
                <w:rFonts w:hint="default" w:ascii="Calibri" w:hAnsi="Calibri" w:eastAsia="Arial" w:cs="Times New Roman"/>
                <w:b w:val="0"/>
                <w:bCs/>
                <w:i w:val="0"/>
                <w:iCs w:val="0"/>
                <w:sz w:val="24"/>
                <w:szCs w:val="24"/>
                <w:highlight w:val="none"/>
                <w:lang w:val="en-US" w:eastAsia="zh-CN"/>
              </w:rPr>
            </w:pPr>
            <w:r>
              <w:rPr>
                <w:rFonts w:hint="eastAsia" w:ascii="Calibri" w:hAnsi="Calibri" w:eastAsia="Arial" w:cs="Times New Roman"/>
                <w:b/>
                <w:bCs w:val="0"/>
                <w:i w:val="0"/>
                <w:iCs w:val="0"/>
                <w:sz w:val="24"/>
                <w:szCs w:val="24"/>
                <w:highlight w:val="none"/>
                <w:lang w:val="en-US" w:eastAsia="zh-CN"/>
              </w:rPr>
              <w:t>3</w:t>
            </w:r>
          </w:p>
        </w:tc>
        <w:tc>
          <w:tcPr>
            <w:tcW w:w="7689" w:type="dxa"/>
            <w:noWrap w:val="0"/>
          </w:tcPr>
          <w:p w14:paraId="2156FC79">
            <w:pPr>
              <w:keepNext w:val="0"/>
              <w:keepLines w:val="0"/>
              <w:pageBreakBefore w:val="0"/>
              <w:widowControl w:val="0"/>
              <w:tabs>
                <w:tab w:val="left" w:pos="900"/>
              </w:tabs>
              <w:spacing w:line="288" w:lineRule="auto"/>
              <w:ind w:left="0" w:firstLine="480"/>
              <w:jc w:val="left"/>
              <w:rPr>
                <w:rFonts w:hint="eastAsia" w:ascii="宋体" w:hAnsi="宋体" w:eastAsia="Arial" w:cs="Times New Roman"/>
                <w:b w:val="0"/>
                <w:bCs w:val="0"/>
                <w:i/>
                <w:iCs/>
                <w:color w:val="auto"/>
                <w:sz w:val="24"/>
                <w:szCs w:val="24"/>
                <w:highlight w:val="none"/>
                <w:u w:val="single"/>
                <w:lang w:val="en-US" w:eastAsia="zh-CN"/>
              </w:rPr>
            </w:pPr>
            <w:r>
              <w:rPr>
                <w:rFonts w:hint="eastAsia" w:ascii="宋体" w:hAnsi="宋体" w:eastAsia="Arial" w:cs="Times New Roman"/>
                <w:b w:val="0"/>
                <w:bCs w:val="0"/>
                <w:i/>
                <w:iCs/>
                <w:color w:val="auto"/>
                <w:sz w:val="24"/>
                <w:szCs w:val="24"/>
                <w:highlight w:val="none"/>
                <w:u w:val="single"/>
                <w:lang w:val="en-US" w:eastAsia="zh-CN"/>
              </w:rPr>
              <w:t>付款方式:1.合同价款由甲方按月支付（合同总额的1/12）。采购人根据月度考核结果，在收到供应商开具的合法发票后[15个工作日] 内，支付当期服务费用（得分率×月承包费）。试运行期间，按中标后的价款进行支付。</w:t>
            </w:r>
          </w:p>
          <w:p w14:paraId="57A2CDDF">
            <w:pPr>
              <w:keepNext w:val="0"/>
              <w:keepLines w:val="0"/>
              <w:pageBreakBefore w:val="0"/>
              <w:widowControl w:val="0"/>
              <w:tabs>
                <w:tab w:val="left" w:pos="900"/>
              </w:tabs>
              <w:spacing w:line="288" w:lineRule="auto"/>
              <w:ind w:firstLine="482"/>
              <w:jc w:val="left"/>
              <w:rPr>
                <w:rFonts w:hint="eastAsia" w:ascii="Calibri" w:hAnsi="Calibri" w:eastAsia="Arial" w:cs="Times New Roman"/>
                <w:b w:val="0"/>
                <w:bCs w:val="0"/>
                <w:i/>
                <w:iCs/>
                <w:color w:val="auto"/>
                <w:sz w:val="24"/>
                <w:szCs w:val="24"/>
                <w:highlight w:val="none"/>
                <w:u w:val="single"/>
                <w:lang w:val="en-US" w:eastAsia="zh-CN"/>
              </w:rPr>
            </w:pPr>
            <w:r>
              <w:rPr>
                <w:rFonts w:hint="eastAsia" w:ascii="宋体" w:hAnsi="宋体" w:eastAsia="Arial" w:cs="Times New Roman"/>
                <w:b w:val="0"/>
                <w:bCs w:val="0"/>
                <w:i/>
                <w:iCs/>
                <w:color w:val="auto"/>
                <w:sz w:val="24"/>
                <w:szCs w:val="24"/>
                <w:highlight w:val="none"/>
                <w:u w:val="single"/>
                <w:lang w:val="en-US" w:eastAsia="zh-CN"/>
              </w:rPr>
              <w:t>2、承包经费包括人员工资、人身意外保险、福利、工具、器材、服装、管理费用、利润、税金、合同包含的所有风险、责任及政策性文件规定的其他各项应有费用等。</w:t>
            </w:r>
          </w:p>
        </w:tc>
      </w:tr>
      <w:tr w14:paraId="296E3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816" w:type="dxa"/>
            <w:noWrap w:val="0"/>
          </w:tcPr>
          <w:p w14:paraId="6B6488CE">
            <w:pPr>
              <w:spacing w:line="500" w:lineRule="exact"/>
              <w:ind w:firstLine="0"/>
              <w:jc w:val="center"/>
              <w:rPr>
                <w:rFonts w:hint="default" w:ascii="Calibri" w:hAnsi="Calibri" w:eastAsia="Arial" w:cs="Times New Roman"/>
                <w:b w:val="0"/>
                <w:bCs/>
                <w:i w:val="0"/>
                <w:iCs w:val="0"/>
                <w:sz w:val="24"/>
                <w:szCs w:val="24"/>
                <w:highlight w:val="none"/>
                <w:lang w:val="en-US" w:eastAsia="zh-CN"/>
              </w:rPr>
            </w:pPr>
            <w:r>
              <w:rPr>
                <w:rFonts w:hint="eastAsia" w:ascii="Calibri" w:hAnsi="Calibri" w:eastAsia="Arial" w:cs="Times New Roman"/>
                <w:b w:val="0"/>
                <w:bCs/>
                <w:i w:val="0"/>
                <w:iCs w:val="0"/>
                <w:sz w:val="24"/>
                <w:szCs w:val="24"/>
                <w:highlight w:val="none"/>
                <w:lang w:val="en-US" w:eastAsia="zh-CN"/>
              </w:rPr>
              <w:t>4</w:t>
            </w:r>
          </w:p>
        </w:tc>
        <w:tc>
          <w:tcPr>
            <w:tcW w:w="7689" w:type="dxa"/>
            <w:noWrap w:val="0"/>
          </w:tcPr>
          <w:p w14:paraId="74627F9B">
            <w:pPr>
              <w:spacing w:line="500" w:lineRule="exact"/>
              <w:jc w:val="left"/>
              <w:rPr>
                <w:rFonts w:hint="eastAsia" w:ascii="Calibri" w:hAnsi="Calibri" w:eastAsia="Arial" w:cs="Times New Roman"/>
                <w:b w:val="0"/>
                <w:bCs w:val="0"/>
                <w:i/>
                <w:color w:val="auto"/>
                <w:sz w:val="24"/>
                <w:szCs w:val="24"/>
                <w:highlight w:val="none"/>
                <w:u w:val="single"/>
                <w:lang w:val="en-US" w:eastAsia="zh-CN"/>
              </w:rPr>
            </w:pPr>
            <w:r>
              <w:rPr>
                <w:rFonts w:hint="eastAsia" w:ascii="Calibri" w:hAnsi="Calibri" w:eastAsia="Arial" w:cs="Times New Roman"/>
                <w:b w:val="0"/>
                <w:bCs w:val="0"/>
                <w:i/>
                <w:color w:val="auto"/>
                <w:sz w:val="24"/>
                <w:szCs w:val="24"/>
                <w:highlight w:val="none"/>
                <w:u w:val="single"/>
                <w:lang w:val="en-US" w:eastAsia="zh-CN"/>
              </w:rPr>
              <w:t>履约保证金</w:t>
            </w:r>
          </w:p>
          <w:p w14:paraId="7D89132A">
            <w:pPr>
              <w:keepNext w:val="0"/>
              <w:keepLines w:val="0"/>
              <w:pageBreakBefore w:val="0"/>
              <w:widowControl w:val="0"/>
              <w:tabs>
                <w:tab w:val="left" w:pos="900"/>
              </w:tabs>
              <w:spacing w:line="288" w:lineRule="auto"/>
              <w:ind w:left="0" w:firstLine="0"/>
              <w:jc w:val="left"/>
              <w:rPr>
                <w:rFonts w:hint="eastAsia" w:ascii="等线" w:hAnsi="等线" w:eastAsia="等线" w:cs="Times New Roman"/>
                <w:i w:val="0"/>
                <w:iCs w:val="0"/>
                <w:sz w:val="21"/>
                <w:szCs w:val="22"/>
                <w:highlight w:val="none"/>
                <w:lang w:val="en-US" w:eastAsia="zh-CN"/>
              </w:rPr>
            </w:pPr>
            <w:r>
              <w:rPr>
                <w:rFonts w:hint="eastAsia" w:ascii="宋体" w:hAnsi="宋体" w:eastAsia="Arial" w:cs="Times New Roman"/>
                <w:b w:val="0"/>
                <w:bCs w:val="0"/>
                <w:i/>
                <w:iCs/>
                <w:color w:val="auto"/>
                <w:sz w:val="24"/>
                <w:szCs w:val="24"/>
                <w:highlight w:val="none"/>
                <w:u w:val="single"/>
                <w:lang w:val="en-US" w:eastAsia="zh-CN"/>
              </w:rPr>
              <w:t xml:space="preserve">承包人是否提供履约担保： 否 </w:t>
            </w:r>
          </w:p>
        </w:tc>
      </w:tr>
    </w:tbl>
    <w:p w14:paraId="470498EF">
      <w:pPr>
        <w:keepNext w:val="0"/>
        <w:keepLines w:val="0"/>
        <w:pageBreakBefore w:val="0"/>
        <w:widowControl w:val="0"/>
        <w:spacing w:line="480" w:lineRule="exact"/>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zh-TW" w:eastAsia="zh-TW" w:bidi="ar-SA"/>
        </w:rPr>
        <w:t>一</w:t>
      </w:r>
      <w:r>
        <w:rPr>
          <w:rFonts w:hint="eastAsia" w:ascii="宋体" w:hAnsi="宋体" w:eastAsia="宋体" w:cs="宋体"/>
          <w:b/>
          <w:bCs/>
          <w:i w:val="0"/>
          <w:iCs w:val="0"/>
          <w:color w:val="auto"/>
          <w:sz w:val="24"/>
          <w:szCs w:val="24"/>
          <w:highlight w:val="none"/>
          <w:lang w:val="zh-TW" w:eastAsia="zh-CN" w:bidi="ar-SA"/>
        </w:rPr>
        <w:t>．</w:t>
      </w:r>
      <w:r>
        <w:rPr>
          <w:rFonts w:hint="eastAsia" w:ascii="宋体" w:hAnsi="宋体" w:eastAsia="宋体" w:cs="宋体"/>
          <w:b/>
          <w:bCs/>
          <w:i w:val="0"/>
          <w:iCs w:val="0"/>
          <w:color w:val="auto"/>
          <w:sz w:val="24"/>
          <w:szCs w:val="24"/>
          <w:highlight w:val="none"/>
          <w:lang w:val="zh-TW" w:eastAsia="zh-TW" w:bidi="ar-SA"/>
        </w:rPr>
        <w:t>采购项目信息</w:t>
      </w:r>
    </w:p>
    <w:p w14:paraId="4CA53DE8">
      <w:pPr>
        <w:keepNext w:val="0"/>
        <w:keepLines w:val="0"/>
        <w:pageBreakBefore w:val="0"/>
        <w:numPr>
          <w:ilvl w:val="0"/>
          <w:numId w:val="0"/>
        </w:numPr>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项目名称：东海县驼峰乡清扫保洁外包项目</w:t>
      </w:r>
    </w:p>
    <w:p w14:paraId="67F23EA9">
      <w:pPr>
        <w:keepNext w:val="0"/>
        <w:keepLines w:val="0"/>
        <w:pageBreakBefore w:val="0"/>
        <w:numPr>
          <w:ilvl w:val="0"/>
          <w:numId w:val="0"/>
        </w:numPr>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预算金额：95万元人民币</w:t>
      </w:r>
    </w:p>
    <w:p w14:paraId="4CF55A58">
      <w:pPr>
        <w:keepNext w:val="0"/>
        <w:keepLines w:val="0"/>
        <w:pageBreakBefore w:val="0"/>
        <w:numPr>
          <w:ilvl w:val="0"/>
          <w:numId w:val="0"/>
        </w:numPr>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最高限价：95万元人民币，投标报价超过最高限价的按无效响应处理。</w:t>
      </w:r>
    </w:p>
    <w:p w14:paraId="150D4DD2">
      <w:pPr>
        <w:keepNext w:val="0"/>
        <w:keepLines w:val="0"/>
        <w:pageBreakBefore w:val="0"/>
        <w:numPr>
          <w:ilvl w:val="0"/>
          <w:numId w:val="0"/>
        </w:numPr>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需求：东海县驼峰乡清扫保洁外包项目，包含但不限于驼峰新区、老区街道道路保洁、洒水降尘、道路洗扫、垃圾转运;党委院内、派出所院内、曹浦新村、老区农贸市场、公共厕所保洁，垃圾中转站日常运营、绿化修剪等服务。</w:t>
      </w:r>
    </w:p>
    <w:p w14:paraId="59A7EAFC">
      <w:pPr>
        <w:keepNext w:val="0"/>
        <w:keepLines w:val="0"/>
        <w:pageBreakBefore w:val="0"/>
        <w:widowControl w:val="0"/>
        <w:spacing w:line="480" w:lineRule="exact"/>
        <w:ind w:firstLine="482"/>
        <w:jc w:val="both"/>
        <w:rPr>
          <w:rFonts w:hint="eastAsia" w:ascii="宋体" w:hAnsi="宋体" w:eastAsia="宋体" w:cs="宋体"/>
          <w:b/>
          <w:bCs/>
          <w:color w:val="auto"/>
          <w:sz w:val="24"/>
          <w:szCs w:val="24"/>
          <w:highlight w:val="none"/>
          <w:lang w:val="zh-TW" w:eastAsia="zh-TW" w:bidi="ar-SA"/>
        </w:rPr>
      </w:pPr>
      <w:r>
        <w:rPr>
          <w:rFonts w:hint="eastAsia" w:ascii="宋体" w:hAnsi="宋体" w:eastAsia="宋体" w:cs="宋体"/>
          <w:b/>
          <w:bCs/>
          <w:color w:val="auto"/>
          <w:sz w:val="24"/>
          <w:szCs w:val="24"/>
          <w:highlight w:val="none"/>
          <w:lang w:val="en-US" w:eastAsia="zh-CN" w:bidi="ar-SA"/>
        </w:rPr>
        <w:t>二．</w:t>
      </w:r>
      <w:r>
        <w:rPr>
          <w:rFonts w:hint="eastAsia" w:ascii="宋体" w:hAnsi="宋体" w:eastAsia="宋体" w:cs="宋体"/>
          <w:b/>
          <w:bCs/>
          <w:color w:val="auto"/>
          <w:sz w:val="24"/>
          <w:szCs w:val="24"/>
          <w:highlight w:val="none"/>
          <w:lang w:val="zh-TW" w:eastAsia="zh-TW" w:bidi="ar-SA"/>
        </w:rPr>
        <w:t>服务</w:t>
      </w:r>
      <w:r>
        <w:rPr>
          <w:rFonts w:hint="eastAsia" w:ascii="宋体" w:hAnsi="宋体" w:eastAsia="宋体" w:cs="宋体"/>
          <w:b/>
          <w:bCs/>
          <w:color w:val="auto"/>
          <w:sz w:val="24"/>
          <w:szCs w:val="24"/>
          <w:highlight w:val="none"/>
          <w:lang w:val="zh-TW" w:eastAsia="zh-CN" w:bidi="ar-SA"/>
        </w:rPr>
        <w:t>技术要求</w:t>
      </w:r>
      <w:r>
        <w:rPr>
          <w:rFonts w:hint="eastAsia" w:ascii="宋体" w:hAnsi="宋体" w:eastAsia="宋体" w:cs="宋体"/>
          <w:b/>
          <w:bCs/>
          <w:color w:val="auto"/>
          <w:sz w:val="24"/>
          <w:szCs w:val="24"/>
          <w:highlight w:val="none"/>
          <w:lang w:val="zh-TW" w:eastAsia="zh-TW" w:bidi="ar-SA"/>
        </w:rPr>
        <w:t>：</w:t>
      </w:r>
    </w:p>
    <w:p w14:paraId="5A031CF5">
      <w:pPr>
        <w:keepNext w:val="0"/>
        <w:keepLines w:val="0"/>
        <w:pageBreakBefore w:val="0"/>
        <w:widowControl w:val="0"/>
        <w:tabs>
          <w:tab w:val="left" w:pos="900"/>
        </w:tabs>
        <w:spacing w:line="480" w:lineRule="exact"/>
        <w:ind w:left="420" w:firstLine="0"/>
        <w:contextualSpacing/>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（一）服务范围</w:t>
      </w:r>
    </w:p>
    <w:p w14:paraId="1D3A2332">
      <w:pPr>
        <w:keepNext w:val="0"/>
        <w:keepLines w:val="0"/>
        <w:pageBreakBefore w:val="0"/>
        <w:widowControl w:val="0"/>
        <w:tabs>
          <w:tab w:val="left" w:pos="900"/>
        </w:tabs>
        <w:spacing w:line="4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但不限于新区道路范围南至311国道南辅路，东至远东路，西至236，北至古驼线；即，浦湾路、古驼线、远东路、百怡路、富民路、富贵线、金陵路、富茂路、曹浦新村。老区南北道路（浦湾路）范围南至古驼线，东西道路（王洪公路）西至236东至早塘村部；即，王洪公路、浦湾路，农贸市场等道路洗扫保洁及垃圾收集转运。</w:t>
      </w:r>
      <w:r>
        <w:rPr>
          <w:rFonts w:hint="eastAsia" w:ascii="宋体" w:hAnsi="宋体" w:eastAsia="Arial" w:cs="Times New Roman"/>
          <w:color w:val="auto"/>
          <w:sz w:val="24"/>
          <w:szCs w:val="24"/>
          <w:highlight w:val="none"/>
        </w:rPr>
        <w:t>如遇重大活动和各项迎检活动，无偿听从甲方的要求进行集中突击行动。</w:t>
      </w:r>
    </w:p>
    <w:p w14:paraId="27CDDB33">
      <w:pPr>
        <w:keepNext w:val="0"/>
        <w:keepLines w:val="0"/>
        <w:pageBreakBefore w:val="0"/>
        <w:widowControl w:val="0"/>
        <w:tabs>
          <w:tab w:val="left" w:pos="900"/>
        </w:tabs>
        <w:spacing w:line="48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1人员配备</w:t>
      </w:r>
    </w:p>
    <w:p w14:paraId="0D82F0B8">
      <w:pPr>
        <w:keepNext w:val="0"/>
        <w:keepLines w:val="0"/>
        <w:pageBreakBefore w:val="0"/>
        <w:widowControl w:val="0"/>
        <w:spacing w:line="480" w:lineRule="exact"/>
        <w:ind w:firstLine="482"/>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1.1管理</w:t>
      </w:r>
      <w:r>
        <w:rPr>
          <w:rFonts w:hint="eastAsia" w:ascii="宋体" w:hAnsi="宋体" w:eastAsia="宋体" w:cs="宋体"/>
          <w:i/>
          <w:iCs/>
          <w:color w:val="auto"/>
          <w:sz w:val="24"/>
          <w:szCs w:val="24"/>
          <w:highlight w:val="none"/>
          <w:u w:val="single"/>
        </w:rPr>
        <w:t>人员：项目经理</w:t>
      </w:r>
      <w:r>
        <w:rPr>
          <w:rFonts w:hint="eastAsia" w:ascii="宋体" w:hAnsi="宋体" w:eastAsia="宋体" w:cs="宋体"/>
          <w:i/>
          <w:iCs/>
          <w:color w:val="auto"/>
          <w:sz w:val="24"/>
          <w:szCs w:val="24"/>
          <w:highlight w:val="none"/>
          <w:u w:val="single"/>
          <w:lang w:val="en-US" w:eastAsia="zh-CN"/>
        </w:rPr>
        <w:t>1名</w:t>
      </w:r>
      <w:r>
        <w:rPr>
          <w:rFonts w:hint="eastAsia" w:ascii="宋体" w:hAnsi="宋体" w:eastAsia="宋体" w:cs="宋体"/>
          <w:i/>
          <w:iCs/>
          <w:color w:val="auto"/>
          <w:sz w:val="24"/>
          <w:szCs w:val="24"/>
          <w:highlight w:val="none"/>
          <w:u w:val="single"/>
        </w:rPr>
        <w:t>、现场主管</w:t>
      </w:r>
      <w:r>
        <w:rPr>
          <w:rFonts w:hint="eastAsia" w:ascii="宋体" w:hAnsi="宋体" w:eastAsia="宋体" w:cs="宋体"/>
          <w:i/>
          <w:iCs/>
          <w:color w:val="auto"/>
          <w:sz w:val="24"/>
          <w:szCs w:val="24"/>
          <w:highlight w:val="none"/>
          <w:u w:val="single"/>
          <w:lang w:val="en-US" w:eastAsia="zh-CN"/>
        </w:rPr>
        <w:t>1名；车辆：驾驶员2名（驾驶人员</w:t>
      </w:r>
      <w:r>
        <w:rPr>
          <w:rFonts w:hint="eastAsia" w:ascii="宋体" w:hAnsi="宋体" w:eastAsia="宋体" w:cs="宋体"/>
          <w:i/>
          <w:iCs/>
          <w:color w:val="auto"/>
          <w:sz w:val="24"/>
          <w:szCs w:val="24"/>
          <w:highlight w:val="none"/>
          <w:u w:val="single"/>
        </w:rPr>
        <w:t>持有相应驾驶证，熟悉作业车辆性能和辖区路线</w:t>
      </w:r>
      <w:r>
        <w:rPr>
          <w:rFonts w:hint="eastAsia" w:ascii="宋体" w:hAnsi="宋体" w:eastAsia="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rPr>
        <w:t>。</w:t>
      </w:r>
      <w:r>
        <w:rPr>
          <w:rFonts w:hint="eastAsia" w:ascii="宋体" w:hAnsi="宋体" w:eastAsia="宋体" w:cs="宋体"/>
          <w:i/>
          <w:iCs/>
          <w:color w:val="auto"/>
          <w:sz w:val="24"/>
          <w:szCs w:val="24"/>
          <w:highlight w:val="none"/>
          <w:u w:val="single"/>
          <w:lang w:val="en-US" w:eastAsia="zh-CN"/>
        </w:rPr>
        <w:t>跟车挂桶1名；道路保洁人员26名、厕所保洁人员3名；垃圾中转站操作员2名。</w:t>
      </w:r>
      <w:r>
        <w:rPr>
          <w:rFonts w:hint="eastAsia" w:ascii="宋体" w:hAnsi="宋体" w:eastAsia="宋体" w:cs="宋体"/>
          <w:i/>
          <w:iCs/>
          <w:color w:val="auto"/>
          <w:sz w:val="24"/>
          <w:szCs w:val="24"/>
          <w:highlight w:val="none"/>
          <w:u w:val="single"/>
        </w:rPr>
        <w:t>需经过岗前培训，着装统一规范，遵守安全作业规程。供应商需为所有员工购买社会保险，保障其合法权益。</w:t>
      </w:r>
    </w:p>
    <w:p w14:paraId="55F9C14F">
      <w:pPr>
        <w:keepNext w:val="0"/>
        <w:keepLines w:val="0"/>
        <w:pageBreakBefore w:val="0"/>
        <w:widowControl w:val="0"/>
        <w:spacing w:line="480" w:lineRule="exact"/>
        <w:ind w:firstLine="482"/>
        <w:rPr>
          <w:rFonts w:hint="eastAsia" w:ascii="宋体" w:hAnsi="宋体" w:eastAsia="宋体" w:cs="宋体"/>
          <w:bCs/>
          <w:i/>
          <w:iCs/>
          <w:color w:val="auto"/>
          <w:sz w:val="24"/>
          <w:szCs w:val="24"/>
          <w:highlight w:val="none"/>
          <w:u w:val="single"/>
          <w:lang w:eastAsia="zh-CN"/>
        </w:rPr>
      </w:pPr>
      <w:r>
        <w:rPr>
          <w:rFonts w:hint="eastAsia" w:ascii="宋体" w:hAnsi="宋体" w:eastAsia="宋体" w:cs="宋体"/>
          <w:i/>
          <w:iCs/>
          <w:color w:val="auto"/>
          <w:sz w:val="24"/>
          <w:szCs w:val="24"/>
          <w:highlight w:val="none"/>
          <w:u w:val="single"/>
          <w:lang w:val="en-US" w:eastAsia="zh-CN"/>
        </w:rPr>
        <w:t>注：以上数量均为最低要求，具体人员数量按实际情况及甲方要求配备，合同执行过程中，如增加工作人员，合同价款不予调整，请投标人综合考虑。</w:t>
      </w:r>
    </w:p>
    <w:p w14:paraId="1953FEB3">
      <w:pPr>
        <w:keepNext w:val="0"/>
        <w:keepLines w:val="0"/>
        <w:pageBreakBefore w:val="0"/>
        <w:widowControl w:val="0"/>
        <w:tabs>
          <w:tab w:val="left" w:pos="900"/>
        </w:tabs>
        <w:spacing w:line="480" w:lineRule="exact"/>
        <w:ind w:firstLine="482"/>
        <w:jc w:val="left"/>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1.2人员待遇</w:t>
      </w:r>
    </w:p>
    <w:p w14:paraId="6A8D6DDA">
      <w:pPr>
        <w:keepNext w:val="0"/>
        <w:keepLines w:val="0"/>
        <w:pageBreakBefore w:val="0"/>
        <w:widowControl w:val="0"/>
        <w:tabs>
          <w:tab w:val="left" w:pos="900"/>
        </w:tabs>
        <w:spacing w:line="480" w:lineRule="exact"/>
        <w:ind w:firstLine="482"/>
        <w:jc w:val="left"/>
        <w:rPr>
          <w:rFonts w:hint="eastAsia" w:ascii="宋体" w:hAnsi="宋体" w:eastAsia="宋体" w:cs="宋体"/>
          <w:color w:val="auto"/>
          <w:sz w:val="24"/>
          <w:szCs w:val="24"/>
          <w:highlight w:val="none"/>
        </w:rPr>
      </w:pPr>
      <w:r>
        <w:rPr>
          <w:rFonts w:hint="eastAsia" w:ascii="宋体" w:hAnsi="宋体" w:eastAsia="Arial" w:cs="Times New Roman"/>
          <w:color w:val="auto"/>
          <w:sz w:val="24"/>
          <w:szCs w:val="24"/>
          <w:highlight w:val="none"/>
        </w:rPr>
        <w:t>乙方要全员购买责任险、意外伤害险。乙方要与聘用人员签订劳动或劳务合同，符合条件的缴纳社会保险。</w:t>
      </w:r>
    </w:p>
    <w:p w14:paraId="49E1003E">
      <w:pPr>
        <w:keepNext w:val="0"/>
        <w:keepLines w:val="0"/>
        <w:pageBreakBefore w:val="0"/>
        <w:widowControl w:val="0"/>
        <w:tabs>
          <w:tab w:val="left" w:pos="900"/>
        </w:tabs>
        <w:spacing w:line="48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2机械设备的配备</w:t>
      </w:r>
    </w:p>
    <w:p w14:paraId="2473EDCF">
      <w:pPr>
        <w:keepNext w:val="0"/>
        <w:keepLines w:val="0"/>
        <w:pageBreakBefore w:val="0"/>
        <w:widowControl w:val="0"/>
        <w:tabs>
          <w:tab w:val="left" w:pos="900"/>
        </w:tabs>
        <w:spacing w:line="480" w:lineRule="exact"/>
        <w:ind w:firstLine="482"/>
        <w:jc w:val="lef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2.1</w:t>
      </w:r>
      <w:r>
        <w:rPr>
          <w:rFonts w:hint="eastAsia" w:ascii="宋体" w:hAnsi="宋体" w:eastAsia="宋体" w:cs="宋体"/>
          <w:color w:val="auto"/>
          <w:sz w:val="24"/>
          <w:szCs w:val="24"/>
          <w:highlight w:val="none"/>
          <w:lang w:val="en-US" w:eastAsia="zh-CN"/>
        </w:rPr>
        <w:t>中标人需提供道路</w:t>
      </w:r>
      <w:r>
        <w:rPr>
          <w:rFonts w:hint="eastAsia" w:ascii="宋体" w:hAnsi="宋体" w:eastAsia="宋体" w:cs="宋体"/>
          <w:color w:val="auto"/>
          <w:sz w:val="24"/>
          <w:szCs w:val="24"/>
          <w:highlight w:val="none"/>
        </w:rPr>
        <w:t>洗扫车</w:t>
      </w:r>
      <w:r>
        <w:rPr>
          <w:rFonts w:hint="eastAsia" w:ascii="宋体" w:hAnsi="宋体" w:eastAsia="宋体" w:cs="宋体"/>
          <w:color w:val="auto"/>
          <w:sz w:val="24"/>
          <w:szCs w:val="24"/>
          <w:highlight w:val="none"/>
          <w:lang w:val="en-US" w:eastAsia="zh-CN"/>
        </w:rPr>
        <w:t>1辆</w:t>
      </w:r>
      <w:r>
        <w:rPr>
          <w:rFonts w:hint="eastAsia" w:ascii="宋体" w:hAnsi="宋体" w:eastAsia="宋体" w:cs="宋体"/>
          <w:color w:val="auto"/>
          <w:sz w:val="24"/>
          <w:szCs w:val="24"/>
          <w:highlight w:val="none"/>
        </w:rPr>
        <w:t>、洒水车</w:t>
      </w:r>
      <w:r>
        <w:rPr>
          <w:rFonts w:hint="eastAsia" w:ascii="宋体" w:hAnsi="宋体" w:eastAsia="宋体" w:cs="宋体"/>
          <w:color w:val="auto"/>
          <w:sz w:val="24"/>
          <w:szCs w:val="24"/>
          <w:highlight w:val="none"/>
          <w:lang w:val="en-US" w:eastAsia="zh-CN"/>
        </w:rPr>
        <w:t>1辆</w:t>
      </w:r>
      <w:r>
        <w:rPr>
          <w:rFonts w:hint="eastAsia" w:ascii="宋体" w:hAnsi="宋体" w:eastAsia="宋体" w:cs="宋体"/>
          <w:color w:val="auto"/>
          <w:sz w:val="24"/>
          <w:szCs w:val="24"/>
          <w:highlight w:val="none"/>
        </w:rPr>
        <w:t>、垃圾收</w:t>
      </w:r>
      <w:r>
        <w:rPr>
          <w:rFonts w:hint="eastAsia" w:ascii="宋体" w:hAnsi="宋体" w:eastAsia="宋体" w:cs="宋体"/>
          <w:color w:val="auto"/>
          <w:sz w:val="24"/>
          <w:szCs w:val="24"/>
          <w:highlight w:val="none"/>
          <w:lang w:val="en-US" w:eastAsia="zh-CN"/>
        </w:rPr>
        <w:t>运</w:t>
      </w:r>
      <w:r>
        <w:rPr>
          <w:rFonts w:hint="eastAsia" w:ascii="宋体" w:hAnsi="宋体" w:eastAsia="宋体" w:cs="宋体"/>
          <w:color w:val="auto"/>
          <w:sz w:val="24"/>
          <w:szCs w:val="24"/>
          <w:highlight w:val="none"/>
        </w:rPr>
        <w:t>车</w:t>
      </w:r>
      <w:r>
        <w:rPr>
          <w:rFonts w:hint="eastAsia" w:ascii="宋体" w:hAnsi="宋体" w:eastAsia="宋体" w:cs="宋体"/>
          <w:color w:val="auto"/>
          <w:sz w:val="24"/>
          <w:szCs w:val="24"/>
          <w:highlight w:val="none"/>
          <w:lang w:val="en-US" w:eastAsia="zh-CN"/>
        </w:rPr>
        <w:t>1辆</w:t>
      </w:r>
      <w:r>
        <w:rPr>
          <w:rFonts w:hint="eastAsia" w:ascii="宋体" w:hAnsi="宋体" w:eastAsia="宋体" w:cs="宋体"/>
          <w:color w:val="auto"/>
          <w:sz w:val="24"/>
          <w:szCs w:val="24"/>
          <w:highlight w:val="none"/>
        </w:rPr>
        <w:t>。车辆类型需满足作业需求，车况良好，外观整洁，标识统一。</w:t>
      </w:r>
      <w:r>
        <w:rPr>
          <w:rFonts w:hint="eastAsia" w:ascii="宋体" w:hAnsi="宋体" w:eastAsia="宋体" w:cs="宋体"/>
          <w:color w:val="auto"/>
          <w:sz w:val="24"/>
          <w:szCs w:val="24"/>
          <w:highlight w:val="none"/>
          <w:lang w:val="zh-CN" w:eastAsia="zh-CN"/>
        </w:rPr>
        <w:t>所有车辆必须具有合法车辆行驶证明，在合同签定之日起</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val="zh-CN" w:eastAsia="zh-CN"/>
        </w:rPr>
        <w:t>十天内配齐，并承担</w:t>
      </w:r>
      <w:r>
        <w:rPr>
          <w:rFonts w:hint="eastAsia" w:ascii="宋体" w:hAnsi="宋体" w:eastAsia="宋体" w:cs="宋体"/>
          <w:color w:val="auto"/>
          <w:sz w:val="24"/>
          <w:szCs w:val="24"/>
          <w:highlight w:val="none"/>
          <w:lang w:val="en-US" w:eastAsia="zh-CN"/>
        </w:rPr>
        <w:t>所有车辆的</w:t>
      </w:r>
      <w:r>
        <w:rPr>
          <w:rFonts w:hint="eastAsia" w:ascii="宋体" w:hAnsi="宋体" w:eastAsia="宋体" w:cs="宋体"/>
          <w:color w:val="auto"/>
          <w:sz w:val="24"/>
          <w:szCs w:val="24"/>
          <w:highlight w:val="none"/>
          <w:lang w:val="zh-CN" w:eastAsia="zh-CN"/>
        </w:rPr>
        <w:t>司机工资、加油、维修、车辆保险等各项费用。</w:t>
      </w:r>
    </w:p>
    <w:p w14:paraId="6D2DFD0F">
      <w:pPr>
        <w:keepNext w:val="0"/>
        <w:keepLines w:val="0"/>
        <w:pageBreakBefore w:val="0"/>
        <w:widowControl w:val="0"/>
        <w:tabs>
          <w:tab w:val="left" w:pos="900"/>
        </w:tabs>
        <w:spacing w:line="48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2.2所有车辆必须具有合法的车辆行驶证明。</w:t>
      </w:r>
    </w:p>
    <w:p w14:paraId="14AEACF8">
      <w:pPr>
        <w:keepNext w:val="0"/>
        <w:keepLines w:val="0"/>
        <w:pageBreakBefore w:val="0"/>
        <w:widowControl w:val="0"/>
        <w:tabs>
          <w:tab w:val="left" w:pos="900"/>
        </w:tabs>
        <w:spacing w:line="48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3劳动工具配备和劳保用品发放</w:t>
      </w:r>
    </w:p>
    <w:p w14:paraId="4DA40528">
      <w:pPr>
        <w:keepNext w:val="0"/>
        <w:keepLines w:val="0"/>
        <w:pageBreakBefore w:val="0"/>
        <w:widowControl w:val="0"/>
        <w:tabs>
          <w:tab w:val="left" w:pos="900"/>
        </w:tabs>
        <w:spacing w:line="48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配备足量的扫帚、铁锹、保洁车、抹布、清洁剂等小型工具和物料。</w:t>
      </w:r>
      <w:r>
        <w:rPr>
          <w:rFonts w:hint="eastAsia" w:ascii="宋体" w:hAnsi="宋体" w:eastAsia="宋体" w:cs="宋体"/>
          <w:color w:val="auto"/>
          <w:sz w:val="24"/>
          <w:szCs w:val="24"/>
          <w:highlight w:val="none"/>
          <w:lang w:val="zh-CN" w:eastAsia="zh-CN"/>
        </w:rPr>
        <w:t>劳动工具和劳保用品由中标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lang w:val="zh-CN" w:eastAsia="zh-CN"/>
        </w:rPr>
        <w:t>购买并承担购置费用。</w:t>
      </w:r>
    </w:p>
    <w:p w14:paraId="627DC0A3">
      <w:pPr>
        <w:keepNext w:val="0"/>
        <w:keepLines w:val="0"/>
        <w:pageBreakBefore w:val="0"/>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（二）服务内容</w:t>
      </w:r>
    </w:p>
    <w:p w14:paraId="1F7E1974">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道路</w:t>
      </w:r>
      <w:r>
        <w:rPr>
          <w:rFonts w:hint="eastAsia" w:ascii="宋体" w:hAnsi="宋体" w:eastAsia="宋体" w:cs="宋体"/>
          <w:color w:val="auto"/>
          <w:sz w:val="24"/>
          <w:szCs w:val="24"/>
          <w:highlight w:val="none"/>
        </w:rPr>
        <w:t>日常清扫保洁</w:t>
      </w:r>
    </w:p>
    <w:p w14:paraId="1BB964AD">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机械化作业：</w:t>
      </w:r>
    </w:p>
    <w:p w14:paraId="4DBC0297">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清扫：按规定频次和路线对具备机扫条件的道路进行机械化清扫。</w:t>
      </w:r>
    </w:p>
    <w:p w14:paraId="6E7730CB">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冲洗：对车行道、人行道、路缘石进行高压冲洗，清除积尘、污渍。</w:t>
      </w:r>
    </w:p>
    <w:p w14:paraId="1524A2A9">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洒水降尘：在干燥、污染天气下进行洒水作业，抑制扬尘。</w:t>
      </w:r>
    </w:p>
    <w:p w14:paraId="2F38E782">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val="en-US" w:eastAsia="zh-CN"/>
        </w:rPr>
        <w:t>党委院内、远东路、浦湾路、百怡路、311省道洒水2次/日；即，上午8点前，下午2点前完成洒水降尘作业；（冰冻天气除外），浦湾路至老区道路</w:t>
      </w:r>
      <w:r>
        <w:rPr>
          <w:rFonts w:hint="eastAsia" w:ascii="宋体" w:hAnsi="宋体" w:eastAsia="宋体" w:cs="宋体"/>
          <w:color w:val="auto"/>
          <w:sz w:val="24"/>
          <w:szCs w:val="24"/>
          <w:highlight w:val="none"/>
        </w:rPr>
        <w:t>每周</w:t>
      </w:r>
      <w:r>
        <w:rPr>
          <w:rFonts w:hint="eastAsia" w:ascii="宋体" w:hAnsi="宋体" w:eastAsia="宋体" w:cs="宋体"/>
          <w:color w:val="auto"/>
          <w:sz w:val="24"/>
          <w:szCs w:val="24"/>
          <w:highlight w:val="none"/>
          <w:lang w:val="en-US" w:eastAsia="zh-CN"/>
        </w:rPr>
        <w:t>不低于2</w:t>
      </w:r>
      <w:r>
        <w:rPr>
          <w:rFonts w:hint="eastAsia" w:ascii="宋体" w:hAnsi="宋体" w:eastAsia="宋体" w:cs="宋体"/>
          <w:color w:val="auto"/>
          <w:sz w:val="24"/>
          <w:szCs w:val="24"/>
          <w:highlight w:val="none"/>
        </w:rPr>
        <w:t>次冲洗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党委院内、远东路、浦湾路、百怡路道路洗扫每周1次</w:t>
      </w:r>
      <w:r>
        <w:rPr>
          <w:rFonts w:hint="eastAsia" w:ascii="宋体" w:hAnsi="宋体" w:eastAsia="宋体" w:cs="宋体"/>
          <w:color w:val="auto"/>
          <w:sz w:val="24"/>
          <w:szCs w:val="24"/>
          <w:highlight w:val="none"/>
        </w:rPr>
        <w:t>（需避开交通高峰）。</w:t>
      </w:r>
    </w:p>
    <w:p w14:paraId="7E707825">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人工保洁：对机械无法作业的区域（如人行道、背街小巷、树穴、绿化带边缘）进行精细化清扫。及时清除路面零散垃圾、痰迹、油污、小广告等。</w:t>
      </w:r>
    </w:p>
    <w:p w14:paraId="184E8DCC">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巡回保洁：在重点路段和时段安排保洁员进行不间断巡回保洁，确保垃圾落地时间不超过 </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分钟。</w:t>
      </w:r>
    </w:p>
    <w:p w14:paraId="6D055C0E">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保洁时间：实行 </w:t>
      </w:r>
      <w:r>
        <w:rPr>
          <w:rFonts w:hint="eastAsia" w:ascii="宋体" w:hAnsi="宋体" w:eastAsia="宋体" w:cs="宋体"/>
          <w:color w:val="auto"/>
          <w:sz w:val="24"/>
          <w:szCs w:val="24"/>
          <w:highlight w:val="none"/>
          <w:lang w:val="en-US" w:eastAsia="zh-CN"/>
        </w:rPr>
        <w:t>8小时</w:t>
      </w:r>
      <w:r>
        <w:rPr>
          <w:rFonts w:hint="eastAsia" w:ascii="宋体" w:hAnsi="宋体" w:eastAsia="宋体" w:cs="宋体"/>
          <w:color w:val="auto"/>
          <w:sz w:val="24"/>
          <w:szCs w:val="24"/>
          <w:highlight w:val="none"/>
        </w:rPr>
        <w:t>保洁制，[</w:t>
      </w:r>
      <w:r>
        <w:rPr>
          <w:rFonts w:hint="eastAsia" w:ascii="宋体" w:hAnsi="宋体" w:eastAsia="宋体" w:cs="宋体"/>
          <w:color w:val="auto"/>
          <w:sz w:val="24"/>
          <w:szCs w:val="24"/>
          <w:highlight w:val="none"/>
          <w:lang w:val="en-US" w:eastAsia="zh-CN"/>
        </w:rPr>
        <w:t>上午6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至11：00下午2:00-17:00</w:t>
      </w:r>
      <w:r>
        <w:rPr>
          <w:rFonts w:hint="eastAsia" w:ascii="宋体" w:hAnsi="宋体" w:eastAsia="宋体" w:cs="宋体"/>
          <w:color w:val="auto"/>
          <w:sz w:val="24"/>
          <w:szCs w:val="24"/>
          <w:highlight w:val="none"/>
        </w:rPr>
        <w:t>]。</w:t>
      </w:r>
    </w:p>
    <w:p w14:paraId="64435175">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垃圾收集与转运</w:t>
      </w:r>
    </w:p>
    <w:p w14:paraId="5C66E7FD">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负责保洁范围内果皮箱、垃圾桶的清理、擦洗和维护。将收集的垃圾运送至指定的中转站或收集点，做到“日产日清”。</w:t>
      </w:r>
    </w:p>
    <w:p w14:paraId="21866E81">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保持垃圾收集容器外观整洁、无满溢、无异味。</w:t>
      </w:r>
    </w:p>
    <w:p w14:paraId="0690C1D2">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垃圾桶清洗要求：每周不低于1次高压清洗消毒。</w:t>
      </w:r>
    </w:p>
    <w:p w14:paraId="692FE1F6">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特殊天气作业</w:t>
      </w:r>
    </w:p>
    <w:p w14:paraId="63E60B7D">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雨天：及时清理下水道口杂物，保障排水畅通。</w:t>
      </w:r>
    </w:p>
    <w:p w14:paraId="3ABCE40D">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雪天：按照应急预案，组织力量进行扫雪除冰，优先保障主干道、桥梁、坡道等交通要道。</w:t>
      </w:r>
    </w:p>
    <w:p w14:paraId="496CC87B">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大风天气：加强巡回保洁，及时清理断枝、白色污染等漂浮物。</w:t>
      </w:r>
    </w:p>
    <w:p w14:paraId="7179E7B3">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突发应急保障</w:t>
      </w:r>
    </w:p>
    <w:p w14:paraId="603B907C">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具备应对重大活动、迎检、突发污染事件（如渣土抛洒、交通事故导致的油污泄漏）的应急处理能力。</w:t>
      </w:r>
    </w:p>
    <w:p w14:paraId="47E9A726">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接到采购人通知后，应在30分钟内到达现场并进行处置。</w:t>
      </w:r>
    </w:p>
    <w:p w14:paraId="28FFBF14">
      <w:pPr>
        <w:keepNext w:val="0"/>
        <w:keepLines w:val="0"/>
        <w:pageBreakBefore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 公共</w:t>
      </w:r>
      <w:r>
        <w:rPr>
          <w:rFonts w:hint="eastAsia" w:ascii="宋体" w:hAnsi="宋体" w:eastAsia="宋体" w:cs="宋体"/>
          <w:color w:val="auto"/>
          <w:sz w:val="24"/>
          <w:szCs w:val="24"/>
          <w:highlight w:val="none"/>
          <w:lang w:val="en-US" w:eastAsia="zh-CN"/>
        </w:rPr>
        <w:t>厕所</w:t>
      </w:r>
      <w:r>
        <w:rPr>
          <w:rFonts w:hint="eastAsia" w:ascii="宋体" w:hAnsi="宋体" w:eastAsia="宋体" w:cs="宋体"/>
          <w:color w:val="auto"/>
          <w:sz w:val="24"/>
          <w:szCs w:val="24"/>
          <w:highlight w:val="none"/>
        </w:rPr>
        <w:t>保洁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以“勤打扫、勤维护”为原则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每天至少2-3次保洁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，避免污渍积累。在保洁过程中，尽量减少对使用者的干扰，并时刻注意自身安全。发现任何设施损坏（如漏水、堵塞、灯泡不亮</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）应立即上报</w:t>
      </w:r>
      <w:r>
        <w:rPr>
          <w:rFonts w:hint="eastAsia" w:ascii="宋体" w:hAnsi="宋体" w:eastAsia="宋体" w:cs="宋体"/>
          <w:color w:val="auto"/>
          <w:sz w:val="24"/>
          <w:szCs w:val="24"/>
          <w:highlight w:val="none"/>
          <w:lang w:val="en-US" w:eastAsia="zh-CN"/>
        </w:rPr>
        <w:t>采购方</w:t>
      </w:r>
      <w:r>
        <w:rPr>
          <w:rFonts w:hint="eastAsia" w:ascii="宋体" w:hAnsi="宋体" w:eastAsia="宋体" w:cs="宋体"/>
          <w:color w:val="auto"/>
          <w:sz w:val="24"/>
          <w:szCs w:val="24"/>
          <w:highlight w:val="none"/>
        </w:rPr>
        <w:t>维修。</w:t>
      </w:r>
      <w:r>
        <w:rPr>
          <w:rFonts w:hint="eastAsia" w:ascii="宋体" w:hAnsi="宋体" w:eastAsia="宋体" w:cs="宋体"/>
          <w:color w:val="auto"/>
          <w:sz w:val="24"/>
          <w:szCs w:val="24"/>
          <w:highlight w:val="none"/>
          <w:lang w:val="en-US" w:eastAsia="zh-CN"/>
        </w:rPr>
        <w:t>保持</w:t>
      </w:r>
      <w:r>
        <w:rPr>
          <w:rFonts w:hint="eastAsia" w:ascii="宋体" w:hAnsi="宋体" w:eastAsia="宋体" w:cs="宋体"/>
          <w:color w:val="auto"/>
          <w:sz w:val="24"/>
          <w:szCs w:val="24"/>
          <w:highlight w:val="none"/>
        </w:rPr>
        <w:t>通风良好，空气清新，无异味。</w:t>
      </w:r>
      <w:r>
        <w:rPr>
          <w:rFonts w:hint="eastAsia" w:ascii="宋体" w:hAnsi="宋体" w:eastAsia="宋体" w:cs="宋体"/>
          <w:color w:val="auto"/>
          <w:sz w:val="24"/>
          <w:szCs w:val="24"/>
          <w:highlight w:val="none"/>
          <w:lang w:val="en-US" w:eastAsia="zh-CN"/>
        </w:rPr>
        <w:t>地面保持干燥、洁净，无垃圾、水渍和脚印。马桶/小便池内外洁净，无污渍、无堵塞，厕纸篮已清空。洗手台台面干燥无水渍，镜面明亮无污迹。水龙头光亮，无手印、无水渍。隔板/门洁净，无涂鸦，无损坏。照明/通风灯具完好，通风系统工作正常</w:t>
      </w:r>
    </w:p>
    <w:p w14:paraId="4A71ACBA">
      <w:pPr>
        <w:keepNext w:val="0"/>
        <w:keepLines w:val="0"/>
        <w:pageBreakBefore w:val="0"/>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6、绿化修剪：党委院内、远东路、曹浦新村、百怡路绿化修剪每年不得低于2次修剪，休眠期修剪（冬季修剪）：深秋至早春，植物落叶后到萌芽前。生长期修剪（夏季修剪）：时间：春季萌芽后至秋季落叶前。</w:t>
      </w:r>
    </w:p>
    <w:p w14:paraId="66B591C7">
      <w:pPr>
        <w:keepNext w:val="0"/>
        <w:keepLines w:val="0"/>
        <w:pageBreakBefore w:val="0"/>
        <w:widowControl w:val="0"/>
        <w:numPr>
          <w:ilvl w:val="0"/>
          <w:numId w:val="0"/>
        </w:numPr>
        <w:tabs>
          <w:tab w:val="left" w:pos="900"/>
        </w:tabs>
        <w:spacing w:line="48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垃圾中转站运营：建立并上墙公示完善的卫生管理制度、岗位责任制、安全操作规程等。有明确的日常运行记录（如消杀、清洗、巡查记录）。工作人员应经过专业培训，掌握作业流程、安全知识和应急处理技能。工作期间必须穿着统一、洁净的工作服，佩戴必要的劳保用品（如手套、口罩）。讲究个人卫生，严禁在站内吸烟、饮食。建立日常巡查机制，发现问题立即整改。主动接受环卫部门、环保部门、街道社区及居民的监督。对于居民投诉的卫生问题，应在规定时间内响应并处理。</w:t>
      </w:r>
      <w:r>
        <w:rPr>
          <w:rFonts w:hint="eastAsia" w:ascii="宋体" w:hAnsi="宋体" w:eastAsia="宋体" w:cs="宋体"/>
          <w:color w:val="auto"/>
          <w:sz w:val="24"/>
          <w:szCs w:val="24"/>
          <w:highlight w:val="none"/>
        </w:rPr>
        <w:t>发现任何设施损坏应立即上报</w:t>
      </w:r>
      <w:r>
        <w:rPr>
          <w:rFonts w:hint="eastAsia" w:ascii="宋体" w:hAnsi="宋体" w:eastAsia="宋体" w:cs="宋体"/>
          <w:color w:val="auto"/>
          <w:sz w:val="24"/>
          <w:szCs w:val="24"/>
          <w:highlight w:val="none"/>
          <w:lang w:val="en-US" w:eastAsia="zh-CN"/>
        </w:rPr>
        <w:t>采购方</w:t>
      </w:r>
      <w:r>
        <w:rPr>
          <w:rFonts w:hint="eastAsia" w:ascii="宋体" w:hAnsi="宋体" w:eastAsia="宋体" w:cs="宋体"/>
          <w:color w:val="auto"/>
          <w:sz w:val="24"/>
          <w:szCs w:val="24"/>
          <w:highlight w:val="none"/>
        </w:rPr>
        <w:t>维修</w:t>
      </w:r>
      <w:r>
        <w:rPr>
          <w:rFonts w:hint="eastAsia" w:ascii="宋体" w:hAnsi="宋体" w:eastAsia="宋体" w:cs="宋体"/>
          <w:color w:val="auto"/>
          <w:sz w:val="24"/>
          <w:szCs w:val="24"/>
          <w:highlight w:val="none"/>
          <w:lang w:eastAsia="zh-CN"/>
        </w:rPr>
        <w:t>。</w:t>
      </w:r>
    </w:p>
    <w:p w14:paraId="64976553">
      <w:pPr>
        <w:keepNext w:val="0"/>
        <w:keepLines w:val="0"/>
        <w:pageBreakBefore w:val="0"/>
        <w:spacing w:line="4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（三）服务标准</w:t>
      </w:r>
    </w:p>
    <w:p w14:paraId="4D0C5389">
      <w:pPr>
        <w:keepNext w:val="0"/>
        <w:keepLines w:val="0"/>
        <w:pageBreakBefore w:val="0"/>
        <w:widowControl w:val="0"/>
        <w:numPr>
          <w:ilvl w:val="0"/>
          <w:numId w:val="0"/>
        </w:numPr>
        <w:tabs>
          <w:tab w:val="left" w:pos="900"/>
        </w:tabs>
        <w:spacing w:line="480" w:lineRule="exact"/>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保洁标准与目标：达到并维持《城市环境卫生质量标准》（GB/T 25177-2010）及地方相关法规规定的道路保洁标准。整体环境卫生满意度在年度测评中不低于80%。</w:t>
      </w:r>
    </w:p>
    <w:p w14:paraId="7C4F22D4">
      <w:pPr>
        <w:keepNext w:val="0"/>
        <w:keepLines w:val="0"/>
        <w:pageBreakBefore w:val="0"/>
        <w:widowControl w:val="0"/>
        <w:numPr>
          <w:ilvl w:val="0"/>
          <w:numId w:val="0"/>
        </w:numPr>
        <w:tabs>
          <w:tab w:val="left" w:pos="900"/>
        </w:tabs>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安全管理</w:t>
      </w:r>
    </w:p>
    <w:p w14:paraId="325B96F9">
      <w:pPr>
        <w:keepNext w:val="0"/>
        <w:keepLines w:val="0"/>
        <w:pageBreakBefore w:val="0"/>
        <w:widowControl w:val="0"/>
        <w:tabs>
          <w:tab w:val="left" w:pos="900"/>
        </w:tabs>
        <w:spacing w:line="48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要严格按上级要求足额配备垃圾压缩清运人员、驾驶员及管理员，要与所有人员按相关规定签订用工合同，相关工资待遇、保险等费用由乙方负责。乙方负责对所有工作人员进行安全教育，特种设备要持证上岗，期间所发生任何人员伤亡以及设备对第三人所产生的事故造成的一切责任均由乙方自行承担。</w:t>
      </w:r>
    </w:p>
    <w:p w14:paraId="2FF3C423">
      <w:pPr>
        <w:keepNext w:val="0"/>
        <w:keepLines w:val="0"/>
        <w:pageBreakBefore w:val="0"/>
        <w:widowControl w:val="0"/>
        <w:tabs>
          <w:tab w:val="left" w:pos="900"/>
        </w:tabs>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负责安全生产管理，若出现工伤事故、意外事故、交通事故、安全生产事故等均由乙方承担责任并承担全部费用。乙方负责挂桶工、中转站机器操作工、车辆驾驶员的持证上岗以及安全生产管理，乙方负责教育驾驶员安全行车、文明行车，驾驶员必须有与准驾车型相符的驾驶证，如发生交通事故等安全事故，乙方单独承担全部责任。</w:t>
      </w:r>
    </w:p>
    <w:p w14:paraId="0C52361C">
      <w:pPr>
        <w:keepNext w:val="0"/>
        <w:keepLines w:val="0"/>
        <w:pageBreakBefore w:val="0"/>
        <w:numPr>
          <w:ilvl w:val="0"/>
          <w:numId w:val="0"/>
        </w:numPr>
        <w:spacing w:line="480" w:lineRule="exact"/>
        <w:ind w:left="480"/>
        <w:rPr>
          <w:rFonts w:hint="eastAsia" w:ascii="宋体" w:hAnsi="宋体" w:eastAsia="宋体" w:cs="宋体"/>
          <w:b/>
          <w:i/>
          <w:iCs/>
          <w:color w:val="auto"/>
          <w:sz w:val="24"/>
          <w:szCs w:val="24"/>
          <w:highlight w:val="none"/>
          <w:u w:val="none"/>
        </w:rPr>
      </w:pPr>
      <w:r>
        <w:rPr>
          <w:rFonts w:hint="eastAsia" w:ascii="宋体" w:hAnsi="宋体" w:eastAsia="宋体" w:cs="宋体"/>
          <w:b/>
          <w:i/>
          <w:iCs/>
          <w:color w:val="auto"/>
          <w:sz w:val="24"/>
          <w:szCs w:val="24"/>
          <w:highlight w:val="none"/>
          <w:u w:val="single"/>
          <w:lang w:eastAsia="zh-CN"/>
        </w:rPr>
        <w:t>三、</w:t>
      </w:r>
      <w:r>
        <w:rPr>
          <w:rFonts w:hint="eastAsia" w:ascii="宋体" w:hAnsi="宋体" w:eastAsia="宋体" w:cs="宋体"/>
          <w:b/>
          <w:i/>
          <w:iCs/>
          <w:color w:val="auto"/>
          <w:sz w:val="24"/>
          <w:szCs w:val="24"/>
          <w:highlight w:val="none"/>
          <w:u w:val="single"/>
        </w:rPr>
        <w:t>服务</w:t>
      </w:r>
      <w:r>
        <w:rPr>
          <w:rFonts w:hint="eastAsia" w:ascii="宋体" w:hAnsi="宋体" w:eastAsia="宋体" w:cs="宋体"/>
          <w:b/>
          <w:i/>
          <w:iCs/>
          <w:color w:val="auto"/>
          <w:sz w:val="24"/>
          <w:szCs w:val="24"/>
          <w:highlight w:val="none"/>
          <w:u w:val="single"/>
          <w:lang w:eastAsia="zh-CN"/>
        </w:rPr>
        <w:t>期限</w:t>
      </w:r>
      <w:r>
        <w:rPr>
          <w:rFonts w:hint="eastAsia" w:ascii="宋体" w:hAnsi="宋体" w:eastAsia="宋体" w:cs="宋体"/>
          <w:b/>
          <w:i/>
          <w:iCs/>
          <w:color w:val="auto"/>
          <w:sz w:val="24"/>
          <w:szCs w:val="24"/>
          <w:highlight w:val="none"/>
          <w:u w:val="single"/>
        </w:rPr>
        <w:t>：</w:t>
      </w:r>
      <w:r>
        <w:rPr>
          <w:rFonts w:hint="eastAsia" w:ascii="宋体" w:hAnsi="宋体" w:eastAsia="宋体" w:cs="宋体"/>
          <w:b/>
          <w:i/>
          <w:iCs/>
          <w:color w:val="auto"/>
          <w:sz w:val="24"/>
          <w:szCs w:val="24"/>
          <w:highlight w:val="none"/>
          <w:u w:val="single"/>
          <w:lang w:eastAsia="zh-CN"/>
        </w:rPr>
        <w:t>一</w:t>
      </w:r>
      <w:r>
        <w:rPr>
          <w:rFonts w:hint="eastAsia" w:ascii="宋体" w:hAnsi="宋体" w:eastAsia="宋体" w:cs="宋体"/>
          <w:b/>
          <w:i/>
          <w:iCs/>
          <w:color w:val="auto"/>
          <w:sz w:val="24"/>
          <w:szCs w:val="24"/>
          <w:highlight w:val="none"/>
          <w:u w:val="single"/>
        </w:rPr>
        <w:t>年</w:t>
      </w:r>
      <w:r>
        <w:rPr>
          <w:rFonts w:hint="eastAsia" w:ascii="宋体" w:hAnsi="宋体" w:eastAsia="宋体" w:cs="宋体"/>
          <w:b/>
          <w:i/>
          <w:iCs/>
          <w:color w:val="auto"/>
          <w:sz w:val="24"/>
          <w:szCs w:val="24"/>
          <w:highlight w:val="none"/>
          <w:u w:val="none"/>
          <w:lang w:eastAsia="zh-CN"/>
        </w:rPr>
        <w:t>。</w:t>
      </w:r>
    </w:p>
    <w:p w14:paraId="590DDA4E">
      <w:pPr>
        <w:keepNext w:val="0"/>
        <w:keepLines w:val="0"/>
        <w:pageBreakBefore w:val="0"/>
        <w:numPr>
          <w:ilvl w:val="0"/>
          <w:numId w:val="0"/>
        </w:numPr>
        <w:spacing w:line="480" w:lineRule="exact"/>
        <w:ind w:firstLine="480"/>
        <w:rPr>
          <w:rFonts w:hint="eastAsia" w:ascii="宋体" w:hAnsi="宋体" w:eastAsia="宋体" w:cs="宋体"/>
          <w:b/>
          <w:color w:val="auto"/>
          <w:sz w:val="24"/>
          <w:szCs w:val="24"/>
          <w:highlight w:val="none"/>
          <w:lang w:eastAsia="zh-CN"/>
        </w:rPr>
      </w:pPr>
      <w:r>
        <w:rPr>
          <w:rFonts w:hint="eastAsia" w:ascii="宋体" w:hAnsi="宋体" w:eastAsia="宋体" w:cs="宋体"/>
          <w:b w:val="0"/>
          <w:bCs/>
          <w:i w:val="0"/>
          <w:iCs w:val="0"/>
          <w:color w:val="auto"/>
          <w:sz w:val="24"/>
          <w:szCs w:val="24"/>
          <w:highlight w:val="none"/>
          <w:u w:val="none"/>
          <w:lang w:val="en-US" w:eastAsia="zh-CN"/>
        </w:rPr>
        <w:t>注：</w:t>
      </w:r>
      <w:r>
        <w:rPr>
          <w:rFonts w:hint="eastAsia" w:ascii="宋体" w:hAnsi="宋体" w:eastAsia="宋体" w:cs="宋体"/>
          <w:b w:val="0"/>
          <w:bCs/>
          <w:i w:val="0"/>
          <w:iCs w:val="0"/>
          <w:color w:val="auto"/>
          <w:sz w:val="24"/>
          <w:szCs w:val="24"/>
          <w:highlight w:val="none"/>
          <w:u w:val="none"/>
        </w:rPr>
        <w:t>合同约定时间起算</w:t>
      </w:r>
    </w:p>
    <w:p w14:paraId="6246FF03">
      <w:pPr>
        <w:keepNext w:val="0"/>
        <w:keepLines w:val="0"/>
        <w:pageBreakBefore w:val="0"/>
        <w:spacing w:line="480" w:lineRule="exact"/>
        <w:ind w:firstLine="480"/>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lang w:eastAsia="zh-CN"/>
        </w:rPr>
        <w:t>四</w:t>
      </w:r>
      <w:r>
        <w:rPr>
          <w:rFonts w:hint="eastAsia" w:ascii="宋体" w:hAnsi="宋体" w:eastAsia="宋体" w:cs="宋体"/>
          <w:b/>
          <w:i/>
          <w:iCs/>
          <w:color w:val="auto"/>
          <w:sz w:val="24"/>
          <w:szCs w:val="24"/>
          <w:highlight w:val="none"/>
          <w:u w:val="single"/>
        </w:rPr>
        <w:t>、付款方式</w:t>
      </w:r>
    </w:p>
    <w:p w14:paraId="7E4BA753">
      <w:pPr>
        <w:keepNext w:val="0"/>
        <w:keepLines w:val="0"/>
        <w:pageBreakBefore w:val="0"/>
        <w:spacing w:line="480" w:lineRule="exact"/>
        <w:ind w:firstLine="480"/>
        <w:jc w:val="left"/>
        <w:rPr>
          <w:rFonts w:hint="eastAsia" w:ascii="宋体" w:hAnsi="宋体" w:eastAsia="宋体" w:cs="宋体"/>
          <w:bCs/>
          <w:i/>
          <w:iCs/>
          <w:sz w:val="24"/>
          <w:szCs w:val="24"/>
          <w:highlight w:val="none"/>
          <w:u w:val="single"/>
          <w:lang w:val="en-US" w:eastAsia="zh-CN"/>
        </w:rPr>
      </w:pPr>
      <w:r>
        <w:rPr>
          <w:rFonts w:hint="eastAsia" w:ascii="宋体" w:hAnsi="宋体" w:eastAsia="宋体" w:cs="宋体"/>
          <w:bCs/>
          <w:i/>
          <w:iCs/>
          <w:sz w:val="24"/>
          <w:szCs w:val="24"/>
          <w:highlight w:val="none"/>
          <w:u w:val="single"/>
          <w:lang w:val="en-US" w:eastAsia="zh-CN"/>
        </w:rPr>
        <w:t>1.合同价款由甲方按月支付（合同总额的1/12）。采购人根据月度考核结果，在收到供应商开具的合法发票后[15个工作日] 内，支付当期服务费用（得分率×月承包费）。试运行期间，按中标后的价款进行支付</w:t>
      </w:r>
      <w:r>
        <w:rPr>
          <w:rFonts w:hint="eastAsia" w:ascii="宋体" w:hAnsi="宋体" w:eastAsia="宋体" w:cs="宋体"/>
          <w:bCs/>
          <w:i/>
          <w:iCs/>
          <w:sz w:val="24"/>
          <w:szCs w:val="24"/>
          <w:highlight w:val="none"/>
          <w:u w:val="single"/>
          <w:lang w:eastAsia="zh-CN"/>
        </w:rPr>
        <w:t>。</w:t>
      </w:r>
    </w:p>
    <w:p w14:paraId="67E976FF">
      <w:pPr>
        <w:keepNext w:val="0"/>
        <w:keepLines w:val="0"/>
        <w:pageBreakBefore w:val="0"/>
        <w:spacing w:line="480" w:lineRule="exact"/>
        <w:ind w:firstLine="480"/>
        <w:jc w:val="left"/>
        <w:rPr>
          <w:rFonts w:hint="eastAsia" w:ascii="宋体" w:hAnsi="宋体" w:eastAsia="宋体" w:cs="宋体"/>
          <w:bCs/>
          <w:i/>
          <w:iCs/>
          <w:sz w:val="24"/>
          <w:szCs w:val="24"/>
          <w:highlight w:val="none"/>
          <w:u w:val="single"/>
        </w:rPr>
      </w:pPr>
      <w:r>
        <w:rPr>
          <w:rFonts w:hint="eastAsia" w:ascii="宋体" w:hAnsi="宋体" w:eastAsia="宋体" w:cs="宋体"/>
          <w:bCs/>
          <w:i/>
          <w:iCs/>
          <w:sz w:val="24"/>
          <w:szCs w:val="24"/>
          <w:highlight w:val="none"/>
          <w:u w:val="single"/>
          <w:lang w:val="en-US" w:eastAsia="zh-CN"/>
        </w:rPr>
        <w:t>2、</w:t>
      </w:r>
      <w:r>
        <w:rPr>
          <w:rFonts w:hint="eastAsia" w:ascii="宋体" w:hAnsi="宋体" w:eastAsia="宋体" w:cs="宋体"/>
          <w:bCs/>
          <w:i/>
          <w:iCs/>
          <w:sz w:val="24"/>
          <w:szCs w:val="24"/>
          <w:highlight w:val="none"/>
          <w:u w:val="single"/>
        </w:rPr>
        <w:t>承包经费包括人员工资、人身意外保险、福利、工具、器材、服装、管理费用、利润、税金、合同包含的所有风险、责任及政策性文件规定的其他各项应有费用等。</w:t>
      </w:r>
    </w:p>
    <w:p w14:paraId="23AB11A7">
      <w:pPr>
        <w:keepNext w:val="0"/>
        <w:keepLines w:val="0"/>
        <w:pageBreakBefore w:val="0"/>
        <w:spacing w:line="480" w:lineRule="exact"/>
        <w:ind w:firstLine="480"/>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eastAsia="zh-CN"/>
        </w:rPr>
        <w:t>五</w:t>
      </w:r>
      <w:r>
        <w:rPr>
          <w:rFonts w:hint="eastAsia" w:ascii="宋体" w:hAnsi="宋体" w:eastAsia="宋体" w:cs="宋体"/>
          <w:b/>
          <w:bCs/>
          <w:i/>
          <w:iCs/>
          <w:color w:val="auto"/>
          <w:sz w:val="24"/>
          <w:szCs w:val="24"/>
          <w:highlight w:val="none"/>
          <w:u w:val="single"/>
        </w:rPr>
        <w:t>、履约保证金</w:t>
      </w:r>
    </w:p>
    <w:p w14:paraId="72938D98">
      <w:pPr>
        <w:keepNext w:val="0"/>
        <w:keepLines w:val="0"/>
        <w:pageBreakBefore w:val="0"/>
        <w:spacing w:line="480" w:lineRule="exact"/>
        <w:ind w:firstLine="480"/>
        <w:jc w:val="left"/>
        <w:rPr>
          <w:rFonts w:hint="eastAsia" w:ascii="宋体" w:hAnsi="宋体" w:eastAsia="宋体" w:cs="宋体"/>
          <w:bCs/>
          <w:i/>
          <w:iCs/>
          <w:color w:val="FF0000"/>
          <w:sz w:val="24"/>
          <w:szCs w:val="24"/>
          <w:highlight w:val="none"/>
          <w:u w:val="single"/>
          <w:lang w:val="en-US" w:eastAsia="zh-CN"/>
        </w:rPr>
      </w:pPr>
      <w:r>
        <w:rPr>
          <w:rFonts w:hint="eastAsia" w:ascii="宋体" w:hAnsi="宋体" w:eastAsia="宋体" w:cs="宋体"/>
          <w:i/>
          <w:iCs/>
          <w:color w:val="auto"/>
          <w:sz w:val="24"/>
          <w:szCs w:val="24"/>
          <w:highlight w:val="none"/>
        </w:rPr>
        <w:t>承包人是否提供履约担保：</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否</w:t>
      </w:r>
      <w:r>
        <w:rPr>
          <w:rFonts w:hint="eastAsia" w:ascii="宋体" w:hAnsi="宋体" w:eastAsia="宋体" w:cs="宋体"/>
          <w:i/>
          <w:iCs/>
          <w:color w:val="auto"/>
          <w:sz w:val="24"/>
          <w:szCs w:val="24"/>
          <w:highlight w:val="none"/>
          <w:u w:val="single"/>
        </w:rPr>
        <w:t xml:space="preserve"> </w:t>
      </w:r>
    </w:p>
    <w:p w14:paraId="36ABF87E">
      <w:pPr>
        <w:keepNext w:val="0"/>
        <w:keepLines w:val="0"/>
        <w:pageBreakBefore w:val="0"/>
        <w:spacing w:line="480" w:lineRule="exact"/>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七、投标报价要求：</w:t>
      </w:r>
    </w:p>
    <w:p w14:paraId="7A5E07B4">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应包括服务所需的人员费用（人员工资、社保、工作服、劳保工具费用等）、车辆费用（车辆使用、油费、维修费用、折旧费用、保险费用等）、工具耗材费用、管理费用、利润、税金及政策包含的所有风险、安全责任等各项应有费用。 </w:t>
      </w:r>
    </w:p>
    <w:p w14:paraId="2698E0A7">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特别提醒：应根据国家收费标准并结合市场实际进行报价。工作中涉及的敏感 资料、电子数据等相关信息，成交供应商应严格执行保密的相关规定，不得以任何方式向任何第三人披露、泄露或许可第三人使用，否则追究其相应法律责任。</w:t>
      </w:r>
    </w:p>
    <w:p w14:paraId="2F7A3593">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的用工要符合国家的相关规定，必须与招聘人员签订用工合同，并将合同复印件报给招标人，中标人要按照国家相关法律规定为招聘人员缴纳各项社会保险，每月缴纳的各项保险复印件要报给招标人；月工资收入不得低于当地政府最低工资标准。如未按照国家相关法律规定为招聘人员缴纳各项保险，发生任何的经济、法律纠纷和人身损害赔偿等，由中标人自行解决。</w:t>
      </w:r>
    </w:p>
    <w:p w14:paraId="2771719C">
      <w:pPr>
        <w:keepNext w:val="0"/>
        <w:keepLines w:val="0"/>
        <w:pageBreakBefore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本次投标报价为包干制，中标后不再进行任何调整。</w:t>
      </w:r>
      <w:bookmarkEnd w:id="76"/>
      <w:bookmarkEnd w:id="77"/>
      <w:bookmarkEnd w:id="78"/>
      <w:bookmarkEnd w:id="79"/>
      <w:bookmarkEnd w:id="80"/>
      <w:bookmarkEnd w:id="81"/>
      <w:bookmarkEnd w:id="82"/>
      <w:bookmarkEnd w:id="84"/>
      <w:bookmarkStart w:id="86" w:name="_Toc14613"/>
      <w:bookmarkStart w:id="87" w:name="_Toc204595696"/>
      <w:bookmarkStart w:id="88" w:name="_Toc224532091"/>
    </w:p>
    <w:p w14:paraId="20D987A4">
      <w:pPr>
        <w:spacing w:after="0" w:line="496" w:lineRule="exact"/>
        <w:ind w:firstLine="482"/>
        <w:jc w:val="both"/>
        <w:rPr>
          <w:rFonts w:hint="default" w:ascii="宋体" w:hAnsi="宋体" w:eastAsia="宋体" w:cs="宋体"/>
          <w:b/>
          <w:bCs/>
          <w:color w:val="auto"/>
          <w:sz w:val="24"/>
          <w:highlight w:val="none"/>
          <w14:ligatures w14:val="none"/>
        </w:rPr>
      </w:pPr>
      <w:r>
        <w:rPr>
          <w:rFonts w:hint="eastAsia" w:ascii="宋体" w:hAnsi="宋体" w:eastAsia="宋体" w:cs="宋体"/>
          <w:b/>
          <w:bCs/>
          <w:color w:val="auto"/>
          <w:sz w:val="24"/>
          <w:highlight w:val="none"/>
          <w:lang w:eastAsia="zh-CN"/>
          <w14:ligatures w14:val="none"/>
        </w:rPr>
        <w:t>八、</w:t>
      </w:r>
      <w:r>
        <w:rPr>
          <w:rFonts w:hint="eastAsia" w:ascii="宋体" w:hAnsi="宋体" w:eastAsia="宋体" w:cs="宋体"/>
          <w:b/>
          <w:color w:val="auto"/>
          <w:sz w:val="24"/>
          <w:highlight w:val="none"/>
          <w:lang w:eastAsia="zh-CN"/>
          <w14:ligatures w14:val="none"/>
        </w:rPr>
        <w:t>驼峰乡</w:t>
      </w:r>
      <w:r>
        <w:rPr>
          <w:rFonts w:hint="eastAsia" w:ascii="宋体" w:hAnsi="宋体" w:eastAsia="宋体" w:cs="宋体"/>
          <w:b/>
          <w:color w:val="auto"/>
          <w:sz w:val="24"/>
          <w:highlight w:val="none"/>
          <w14:ligatures w14:val="none"/>
        </w:rPr>
        <w:t>保洁及村垃圾转运督查考核管理办法</w:t>
      </w:r>
    </w:p>
    <w:p w14:paraId="05CBD5B1">
      <w:pPr>
        <w:spacing w:after="0" w:line="360" w:lineRule="auto"/>
        <w:ind w:left="0" w:firstLine="480"/>
        <w:rPr>
          <w:rFonts w:hint="eastAsia" w:ascii="宋体" w:hAnsi="宋体" w:eastAsia="宋体" w:cs="宋体"/>
          <w:color w:val="auto"/>
          <w:sz w:val="24"/>
          <w:highlight w:val="none"/>
          <w:lang w:val="en-US" w:eastAsia="zh-CN"/>
          <w14:ligatures w14:val="none"/>
        </w:rPr>
      </w:pPr>
      <w:r>
        <w:rPr>
          <w:rFonts w:hint="eastAsia" w:ascii="宋体" w:hAnsi="宋体" w:eastAsia="宋体" w:cs="宋体"/>
          <w:color w:val="auto"/>
          <w:sz w:val="24"/>
          <w:highlight w:val="none"/>
          <w:lang w:val="en-US" w:eastAsia="zh-CN"/>
          <w14:ligatures w14:val="none"/>
        </w:rPr>
        <w:t>每月承包费计算公式：当期应付费用=（当月考核得分/100）×月承包费（合同总额的1/12）。（仅供参考，具体计费办法由双方协商确定）检查考核采取每月定期检查或不定期抽查方式,即对清扫清运工作质量实行处罚考核，月查月结。每月初汇总对上月考核情况，根据考核情况核发承包方每月的承包费用。具体考核标准如下：</w:t>
      </w:r>
    </w:p>
    <w:p w14:paraId="29C906D5">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分值：完全符合得96-100分，较符合得86-95分，基本符合得76-85分，基本不符合得71-75分，非常不符合得66-70分，完全不符合得65分；（考核分值每分10元）</w:t>
      </w:r>
    </w:p>
    <w:p w14:paraId="42477475">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镇区道路及生活垃圾转运标准</w:t>
      </w:r>
    </w:p>
    <w:p w14:paraId="34040660">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感官质量检查评价</w:t>
      </w:r>
    </w:p>
    <w:p w14:paraId="307132B0">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确保检测人员工作安全在被检查路段一侧抽取300m路段，有3-5名评价人员分别独立进行检查，并按各项符合质量要求的程度评价打分。1-2、在被检查道路反向一侧重复1-1项检查打分；</w:t>
      </w:r>
    </w:p>
    <w:p w14:paraId="1A80A64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1-2、质量要求及规定：</w:t>
      </w:r>
    </w:p>
    <w:p w14:paraId="25615DD6">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道路整洁，无成片垃圾、污渍、积水（30分）；</w:t>
      </w:r>
    </w:p>
    <w:p w14:paraId="64E51A9E">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道路边角部位清洁，无积存垃圾（20分）；</w:t>
      </w:r>
    </w:p>
    <w:p w14:paraId="2740380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路面排水箅及周围无成片垃圾、落叶和积水（20分）。</w:t>
      </w:r>
    </w:p>
    <w:p w14:paraId="6D4E507A">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垃圾桶清洁投放口无满溢，周边无生活垃圾（20分）。</w:t>
      </w:r>
    </w:p>
    <w:p w14:paraId="619CA407">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道路两侧树穴、花坛、绿化带无生活垃圾（10）。</w:t>
      </w:r>
    </w:p>
    <w:p w14:paraId="79B0971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道路可见垃圾检测评价</w:t>
      </w:r>
    </w:p>
    <w:p w14:paraId="45369F9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2-1、确保检测人员工作安全在被检查路段一侧抽取500㎡路段，有1-2名评价人员分别进行检查。</w:t>
      </w:r>
    </w:p>
    <w:p w14:paraId="465527E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2-2、质量要求及规定：</w:t>
      </w:r>
    </w:p>
    <w:p w14:paraId="0D3C28F4">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应以观测面积500㎡进行观测；</w:t>
      </w:r>
    </w:p>
    <w:p w14:paraId="3B4780F2">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检测面积应包括人行道、道路两侧绿化带等面积；</w:t>
      </w:r>
    </w:p>
    <w:p w14:paraId="230AA50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成堆纸屑、果皮等垃圾应以大于等于0.25㎡为1</w:t>
      </w:r>
      <w:r>
        <w:rPr>
          <w:rFonts w:hint="eastAsia" w:ascii="宋体" w:hAnsi="宋体" w:eastAsia="宋体" w:cs="宋体"/>
          <w:color w:val="auto"/>
          <w:sz w:val="24"/>
          <w:highlight w:val="none"/>
          <w:lang w:eastAsia="zh-CN"/>
          <w14:ligatures w14:val="none"/>
        </w:rPr>
        <w:t>个</w:t>
      </w:r>
      <w:r>
        <w:rPr>
          <w:rFonts w:hint="eastAsia" w:ascii="宋体" w:hAnsi="宋体" w:eastAsia="宋体" w:cs="宋体"/>
          <w:color w:val="auto"/>
          <w:sz w:val="24"/>
          <w:highlight w:val="none"/>
          <w14:ligatures w14:val="none"/>
        </w:rPr>
        <w:t>；</w:t>
      </w:r>
    </w:p>
    <w:p w14:paraId="2E9F9A2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成片污渍面积应以大于等于1㎡为一处；</w:t>
      </w:r>
    </w:p>
    <w:p w14:paraId="54C66F81">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植物落叶、落花、落果根据其形状可不计为可见垃圾，陈旧性污渍应不计为污渍，水渍应不计为污渍。</w:t>
      </w:r>
    </w:p>
    <w:p w14:paraId="61BA0DB3">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2-3、分值：（占总分的30%）</w:t>
      </w:r>
    </w:p>
    <w:p w14:paraId="5715DF7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一级道路：</w:t>
      </w:r>
    </w:p>
    <w:p w14:paraId="17F92AF2">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1-5处完全符合得96-100分；</w:t>
      </w:r>
    </w:p>
    <w:p w14:paraId="25D3B863">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6-10处较好符合得86-95分；</w:t>
      </w:r>
    </w:p>
    <w:p w14:paraId="50F6D739">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11-20处基本符合得76-85分；</w:t>
      </w:r>
    </w:p>
    <w:p w14:paraId="16628923">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21-30处基本不符合得71-75分；</w:t>
      </w:r>
    </w:p>
    <w:p w14:paraId="61AE4A4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31-40处非常不符合得66-70分；</w:t>
      </w:r>
    </w:p>
    <w:p w14:paraId="41C2D29C">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41-50处完全不符合得65分。</w:t>
      </w:r>
    </w:p>
    <w:p w14:paraId="2803EB8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二级道路：</w:t>
      </w:r>
    </w:p>
    <w:p w14:paraId="37F96896">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1-10处完全符合得96-100分；</w:t>
      </w:r>
    </w:p>
    <w:p w14:paraId="7E16FBB3">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11-20处较好符合得86-95分；</w:t>
      </w:r>
    </w:p>
    <w:p w14:paraId="1FCB0650">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21-30处基本符合得76-85分；</w:t>
      </w:r>
    </w:p>
    <w:p w14:paraId="79EA74AA">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31-40处基本不符合得71-75分；</w:t>
      </w:r>
    </w:p>
    <w:p w14:paraId="0EF8FCD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41-50处非常不符合得66-70分；</w:t>
      </w:r>
    </w:p>
    <w:p w14:paraId="386E9C68">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51-60处完全不符合得65分。</w:t>
      </w:r>
    </w:p>
    <w:p w14:paraId="2E4E68EA">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三级道路：</w:t>
      </w:r>
    </w:p>
    <w:p w14:paraId="01C090E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1-15处完全符合得96-100分；</w:t>
      </w:r>
    </w:p>
    <w:p w14:paraId="2AAE2A83">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16-25处较好符合得86-95分；</w:t>
      </w:r>
    </w:p>
    <w:p w14:paraId="7EEC198B">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26-35处基本符合得76-85分；</w:t>
      </w:r>
    </w:p>
    <w:p w14:paraId="28AA6216">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36-45处基本不符合得71-75分；</w:t>
      </w:r>
    </w:p>
    <w:p w14:paraId="3A4F6320">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46-55处非常不符合得66-70分；</w:t>
      </w:r>
    </w:p>
    <w:p w14:paraId="7825832F">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56-70处完全不符合得65分。</w:t>
      </w:r>
    </w:p>
    <w:p w14:paraId="205F007A">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农村生活垃圾</w:t>
      </w:r>
      <w:r>
        <w:rPr>
          <w:rFonts w:hint="eastAsia" w:ascii="宋体" w:hAnsi="宋体" w:eastAsia="宋体" w:cs="宋体"/>
          <w:color w:val="auto"/>
          <w:sz w:val="24"/>
          <w:highlight w:val="none"/>
          <w:lang w:eastAsia="zh-CN"/>
          <w14:ligatures w14:val="none"/>
        </w:rPr>
        <w:t>转运</w:t>
      </w:r>
      <w:r>
        <w:rPr>
          <w:rFonts w:hint="eastAsia" w:ascii="宋体" w:hAnsi="宋体" w:eastAsia="宋体" w:cs="宋体"/>
          <w:color w:val="auto"/>
          <w:sz w:val="24"/>
          <w:highlight w:val="none"/>
          <w14:ligatures w14:val="none"/>
        </w:rPr>
        <w:t>标准</w:t>
      </w:r>
    </w:p>
    <w:p w14:paraId="70C3B85D">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生活垃圾每日一清运（20分）；</w:t>
      </w:r>
    </w:p>
    <w:p w14:paraId="65BF6428">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垃圾桶投放口无满溢，周边30米范围内无生活垃圾（25分）；</w:t>
      </w:r>
    </w:p>
    <w:p w14:paraId="201C0F44">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垃圾桶摆放整齐并保持清洁（15分）；</w:t>
      </w:r>
    </w:p>
    <w:p w14:paraId="515E07B6">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杜绝垃圾焚烧、随意倾倒及填埋（30分）；</w:t>
      </w:r>
    </w:p>
    <w:p w14:paraId="0888C204">
      <w:pPr>
        <w:spacing w:after="0" w:line="360" w:lineRule="auto"/>
        <w:ind w:firstLine="480"/>
        <w:rPr>
          <w:rFonts w:hint="default" w:ascii="宋体" w:hAnsi="宋体" w:eastAsia="宋体" w:cs="宋体"/>
          <w:color w:val="auto"/>
          <w:sz w:val="24"/>
          <w:highlight w:val="none"/>
          <w14:ligatures w14:val="none"/>
        </w:rPr>
      </w:pPr>
      <w:r>
        <w:rPr>
          <w:rFonts w:hint="eastAsia" w:ascii="宋体" w:hAnsi="宋体" w:eastAsia="宋体" w:cs="宋体"/>
          <w:color w:val="auto"/>
          <w:sz w:val="24"/>
          <w:highlight w:val="none"/>
          <w14:ligatures w14:val="none"/>
        </w:rPr>
        <w:t>5、人员及车辆应配备醒目标识，车辆外观保持清洁（10分）；</w:t>
      </w:r>
    </w:p>
    <w:p w14:paraId="5E98C0B2">
      <w:pPr>
        <w:spacing w:after="0" w:line="360" w:lineRule="auto"/>
        <w:ind w:firstLine="480"/>
        <w:rPr>
          <w:rFonts w:hint="default" w:ascii="宋体" w:hAnsi="宋体" w:eastAsia="宋体" w:cs="宋体"/>
          <w:color w:val="auto"/>
          <w:sz w:val="24"/>
          <w:highlight w:val="none"/>
          <w14:ligatures w14:val="none"/>
        </w:rPr>
      </w:pPr>
      <w:r>
        <w:rPr>
          <w:rFonts w:hint="default" w:ascii="宋体" w:hAnsi="宋体" w:eastAsia="宋体" w:cs="宋体"/>
          <w:color w:val="auto"/>
          <w:sz w:val="24"/>
          <w:highlight w:val="none"/>
          <w:lang w:val="en-US" w:eastAsia="zh-CN"/>
          <w14:ligatures w14:val="none"/>
        </w:rPr>
        <w:t>乙方对考核结果有异议时，可于结果送达后2日内申请复核，甲方应在3个工作日内组织双方重新查验并书面答复。</w:t>
      </w:r>
    </w:p>
    <w:p w14:paraId="59D25D0E">
      <w:pPr>
        <w:pStyle w:val="48"/>
        <w:rPr>
          <w:highlight w:val="none"/>
        </w:rPr>
      </w:pPr>
    </w:p>
    <w:p w14:paraId="03621FF5">
      <w:pPr>
        <w:ind w:left="0" w:firstLine="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br w:type="page" w:clear="all"/>
      </w:r>
    </w:p>
    <w:p w14:paraId="48096CBD">
      <w:pPr>
        <w:pStyle w:val="194"/>
        <w:spacing w:line="360" w:lineRule="auto"/>
        <w:jc w:val="center"/>
        <w:outlineLvl w:val="0"/>
        <w:rPr>
          <w:rFonts w:hint="default" w:ascii="宋体" w:hAnsi="宋体" w:eastAsia="宋体" w:cs="宋体"/>
          <w:b/>
          <w:bCs/>
          <w:color w:val="auto"/>
          <w:sz w:val="44"/>
          <w:szCs w:val="44"/>
          <w:highlight w:val="none"/>
        </w:rPr>
      </w:pPr>
      <w:r>
        <w:rPr>
          <w:rFonts w:ascii="宋体" w:hAnsi="宋体" w:eastAsia="宋体" w:cs="宋体"/>
          <w:b/>
          <w:bCs/>
          <w:color w:val="auto"/>
          <w:sz w:val="44"/>
          <w:szCs w:val="44"/>
          <w:highlight w:val="none"/>
        </w:rPr>
        <w:t>第五章  评审方法和评审标准</w:t>
      </w:r>
      <w:bookmarkEnd w:id="86"/>
    </w:p>
    <w:p w14:paraId="5635A095">
      <w:pPr>
        <w:widowControl/>
        <w:ind w:firstLine="482"/>
        <w:rPr>
          <w:rFonts w:hint="eastAsia" w:ascii="宋体" w:hAnsi="宋体" w:cs="宋体"/>
          <w:b/>
          <w:bCs/>
          <w:color w:val="auto"/>
          <w:highlight w:val="none"/>
          <w:lang w:bidi="ar"/>
        </w:rPr>
      </w:pPr>
    </w:p>
    <w:p w14:paraId="4DA2B198">
      <w:pPr>
        <w:widowControl/>
        <w:ind w:firstLine="482"/>
        <w:rPr>
          <w:rFonts w:ascii="宋体" w:hAnsi="宋体" w:cs="宋体"/>
          <w:b/>
          <w:bCs/>
          <w:color w:val="auto"/>
          <w:highlight w:val="none"/>
          <w:lang w:bidi="ar"/>
        </w:rPr>
      </w:pPr>
      <w:r>
        <w:rPr>
          <w:rFonts w:hint="eastAsia" w:ascii="宋体" w:hAnsi="宋体" w:cs="宋体"/>
          <w:b/>
          <w:bCs/>
          <w:color w:val="auto"/>
          <w:highlight w:val="none"/>
          <w:lang w:bidi="ar"/>
        </w:rPr>
        <w:t>一、评标委员会构成</w:t>
      </w:r>
    </w:p>
    <w:p w14:paraId="48E005E6">
      <w:pPr>
        <w:widowControl/>
        <w:ind w:firstLine="480"/>
        <w:jc w:val="left"/>
        <w:rPr>
          <w:rFonts w:hint="eastAsia" w:ascii="宋体" w:hAnsi="宋体" w:eastAsia="宋体" w:cs="宋体"/>
          <w:color w:val="auto"/>
          <w:highlight w:val="none"/>
          <w:lang w:eastAsia="zh-CN" w:bidi="ar"/>
        </w:rPr>
      </w:pPr>
      <w:r>
        <w:rPr>
          <w:rFonts w:hint="eastAsia" w:ascii="宋体" w:hAnsi="宋体" w:cs="宋体"/>
          <w:color w:val="auto"/>
          <w:highlight w:val="none"/>
          <w:lang w:bidi="ar"/>
        </w:rPr>
        <w:t>本采购项目评标委员会的评委由采购人代表、相关专家组成</w:t>
      </w:r>
      <w:r>
        <w:rPr>
          <w:rFonts w:hint="eastAsia" w:ascii="宋体" w:hAnsi="宋体" w:cs="宋体"/>
          <w:color w:val="auto"/>
          <w:highlight w:val="none"/>
          <w:lang w:eastAsia="zh-CN" w:bidi="ar"/>
        </w:rPr>
        <w:t>。</w:t>
      </w:r>
    </w:p>
    <w:p w14:paraId="5877F5B9">
      <w:pPr>
        <w:widowControl/>
        <w:ind w:firstLine="482"/>
        <w:jc w:val="left"/>
        <w:rPr>
          <w:color w:val="auto"/>
          <w:highlight w:val="none"/>
        </w:rPr>
      </w:pPr>
      <w:r>
        <w:rPr>
          <w:rFonts w:hint="eastAsia" w:ascii="宋体" w:hAnsi="宋体" w:cs="宋体"/>
          <w:b/>
          <w:bCs/>
          <w:color w:val="auto"/>
          <w:highlight w:val="none"/>
          <w:lang w:bidi="ar"/>
        </w:rPr>
        <w:t>二、评标方法：</w:t>
      </w:r>
    </w:p>
    <w:p w14:paraId="0825C77E">
      <w:pPr>
        <w:widowControl/>
        <w:ind w:firstLine="480"/>
        <w:jc w:val="left"/>
        <w:rPr>
          <w:rFonts w:ascii="宋体" w:hAnsi="宋体" w:cs="宋体"/>
          <w:color w:val="auto"/>
          <w:highlight w:val="none"/>
          <w:lang w:bidi="ar"/>
        </w:rPr>
      </w:pPr>
      <w:r>
        <w:rPr>
          <w:rFonts w:hint="eastAsia" w:ascii="宋体" w:hAnsi="宋体" w:cs="宋体"/>
          <w:color w:val="auto"/>
          <w:highlight w:val="none"/>
          <w:lang w:bidi="ar"/>
        </w:rPr>
        <w:t>本项目评标方法采用</w:t>
      </w:r>
      <w:r>
        <w:rPr>
          <w:rFonts w:hint="eastAsia" w:ascii="宋体" w:hAnsi="宋体" w:cs="宋体"/>
          <w:b/>
          <w:bCs/>
          <w:color w:val="auto"/>
          <w:highlight w:val="none"/>
          <w:lang w:bidi="ar"/>
        </w:rPr>
        <w:t>综合评分法</w:t>
      </w:r>
      <w:r>
        <w:rPr>
          <w:rFonts w:hint="eastAsia" w:ascii="宋体" w:hAnsi="宋体" w:cs="宋体"/>
          <w:color w:val="auto"/>
          <w:highlight w:val="none"/>
          <w:lang w:bidi="ar"/>
        </w:rPr>
        <w:t>。综合评分法，是指响应文件满足磋商文件全部实质性要求，且按照评审因素的量化指标评审得分最高的投标人为中标候选人的评标方法。</w:t>
      </w:r>
    </w:p>
    <w:p w14:paraId="605910C7">
      <w:pPr>
        <w:widowControl/>
        <w:ind w:firstLine="482"/>
        <w:jc w:val="left"/>
        <w:rPr>
          <w:rFonts w:ascii="宋体" w:hAnsi="宋体" w:cs="宋体"/>
          <w:b/>
          <w:bCs/>
          <w:color w:val="auto"/>
          <w:highlight w:val="none"/>
          <w:lang w:bidi="ar"/>
        </w:rPr>
      </w:pPr>
      <w:r>
        <w:rPr>
          <w:rFonts w:hint="eastAsia" w:ascii="宋体" w:hAnsi="宋体" w:cs="宋体"/>
          <w:b/>
          <w:bCs/>
          <w:color w:val="auto"/>
          <w:highlight w:val="none"/>
          <w:lang w:bidi="ar"/>
        </w:rPr>
        <w:t>三、评标原则：</w:t>
      </w:r>
    </w:p>
    <w:p w14:paraId="6BAF2379">
      <w:pPr>
        <w:widowControl/>
        <w:ind w:firstLine="480"/>
        <w:jc w:val="left"/>
        <w:rPr>
          <w:rFonts w:ascii="宋体" w:hAnsi="宋体" w:cs="宋体"/>
          <w:color w:val="auto"/>
          <w:highlight w:val="none"/>
          <w:lang w:bidi="ar"/>
        </w:rPr>
      </w:pPr>
      <w:r>
        <w:rPr>
          <w:rFonts w:hint="eastAsia" w:ascii="宋体" w:hAnsi="宋体" w:cs="宋体"/>
          <w:color w:val="auto"/>
          <w:highlight w:val="none"/>
          <w:lang w:bidi="ar"/>
        </w:rPr>
        <w:t>评标委员会必须公平、公正、客观，不带任何倾向性和启发性；不得向外界透露任何与评标有关的内容；任何单位和个人不得干扰、影响评标的正常进行；评标委员会及有关工作人员不得私下与供应商接触。</w:t>
      </w:r>
    </w:p>
    <w:p w14:paraId="4C5E74BE">
      <w:pPr>
        <w:widowControl/>
        <w:ind w:firstLine="482"/>
        <w:jc w:val="left"/>
        <w:rPr>
          <w:color w:val="auto"/>
          <w:highlight w:val="none"/>
        </w:rPr>
      </w:pPr>
      <w:r>
        <w:rPr>
          <w:rFonts w:hint="eastAsia" w:ascii="宋体" w:hAnsi="宋体" w:cs="宋体"/>
          <w:b/>
          <w:bCs/>
          <w:color w:val="auto"/>
          <w:highlight w:val="none"/>
          <w:lang w:bidi="ar"/>
        </w:rPr>
        <w:t>四、评标标准：</w:t>
      </w:r>
    </w:p>
    <w:p w14:paraId="44BFA216">
      <w:pPr>
        <w:widowControl/>
        <w:ind w:firstLine="480"/>
        <w:jc w:val="left"/>
        <w:rPr>
          <w:color w:val="auto"/>
          <w:highlight w:val="none"/>
        </w:rPr>
      </w:pPr>
      <w:r>
        <w:rPr>
          <w:rFonts w:hint="eastAsia" w:ascii="宋体" w:hAnsi="宋体" w:cs="宋体"/>
          <w:color w:val="auto"/>
          <w:highlight w:val="none"/>
          <w:lang w:bidi="ar"/>
        </w:rPr>
        <w:t xml:space="preserve">（一）评标时，评标委员会以磋商文件为评标依据，评标委员会各成员独立对每个投标人的响应文件进行评价，并汇总每个投标人的得分。 </w:t>
      </w:r>
    </w:p>
    <w:p w14:paraId="0C1E95B9">
      <w:pPr>
        <w:widowControl/>
        <w:ind w:firstLine="480"/>
        <w:jc w:val="left"/>
        <w:rPr>
          <w:color w:val="auto"/>
          <w:highlight w:val="none"/>
        </w:rPr>
      </w:pPr>
      <w:r>
        <w:rPr>
          <w:rFonts w:hint="eastAsia" w:ascii="宋体" w:hAnsi="宋体" w:cs="宋体"/>
          <w:color w:val="auto"/>
          <w:highlight w:val="none"/>
          <w:lang w:bidi="ar"/>
        </w:rPr>
        <w:t xml:space="preserve">（二）本项目评分总分为100分，按四舍五入取至小数点后两位。 </w:t>
      </w:r>
    </w:p>
    <w:p w14:paraId="3C3CF10A">
      <w:pPr>
        <w:widowControl/>
        <w:ind w:firstLine="480"/>
        <w:jc w:val="left"/>
        <w:rPr>
          <w:color w:val="auto"/>
          <w:highlight w:val="none"/>
        </w:rPr>
      </w:pPr>
      <w:r>
        <w:rPr>
          <w:rFonts w:hint="eastAsia" w:ascii="宋体" w:hAnsi="宋体" w:cs="宋体"/>
          <w:color w:val="auto"/>
          <w:highlight w:val="none"/>
          <w:lang w:bidi="ar"/>
        </w:rPr>
        <w:t>（三）总得分 =价格分+商务</w:t>
      </w:r>
      <w:r>
        <w:rPr>
          <w:rFonts w:hint="eastAsia" w:ascii="宋体" w:hAnsi="宋体" w:cs="宋体"/>
          <w:color w:val="auto"/>
          <w:highlight w:val="none"/>
          <w:lang w:eastAsia="zh-CN" w:bidi="ar"/>
        </w:rPr>
        <w:t>分</w:t>
      </w:r>
      <w:r>
        <w:rPr>
          <w:rFonts w:hint="eastAsia" w:ascii="宋体" w:hAnsi="宋体" w:cs="宋体"/>
          <w:color w:val="auto"/>
          <w:highlight w:val="none"/>
          <w:lang w:val="en-US" w:eastAsia="zh-CN" w:bidi="ar"/>
        </w:rPr>
        <w:t>+</w:t>
      </w:r>
      <w:r>
        <w:rPr>
          <w:rFonts w:hint="eastAsia" w:ascii="宋体" w:hAnsi="宋体" w:cs="宋体"/>
          <w:color w:val="auto"/>
          <w:highlight w:val="none"/>
          <w:lang w:bidi="ar"/>
        </w:rPr>
        <w:t xml:space="preserve">技术分 </w:t>
      </w:r>
    </w:p>
    <w:p w14:paraId="5ED5DF91">
      <w:pPr>
        <w:widowControl/>
        <w:ind w:firstLine="480"/>
        <w:jc w:val="left"/>
        <w:rPr>
          <w:color w:val="auto"/>
          <w:highlight w:val="none"/>
        </w:rPr>
      </w:pPr>
      <w:r>
        <w:rPr>
          <w:rFonts w:hint="eastAsia" w:ascii="宋体" w:hAnsi="宋体" w:cs="宋体"/>
          <w:color w:val="auto"/>
          <w:highlight w:val="none"/>
          <w:lang w:bidi="ar"/>
        </w:rPr>
        <w:t>（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p>
    <w:p w14:paraId="7FF86154">
      <w:pPr>
        <w:widowControl/>
        <w:jc w:val="center"/>
        <w:rPr>
          <w:rFonts w:hint="default" w:ascii="宋体" w:hAnsi="宋体" w:eastAsia="宋体" w:cs="宋体"/>
          <w:b/>
          <w:bCs/>
          <w:color w:val="auto"/>
          <w:sz w:val="28"/>
          <w:szCs w:val="28"/>
          <w:highlight w:val="none"/>
          <w:lang w:val="en-US" w:eastAsia="zh-CN" w:bidi="ar"/>
        </w:rPr>
      </w:pPr>
      <w:r>
        <w:rPr>
          <w:rFonts w:hint="eastAsia" w:ascii="宋体" w:hAnsi="宋体" w:cs="宋体"/>
          <w:b/>
          <w:bCs/>
          <w:color w:val="auto"/>
          <w:sz w:val="28"/>
          <w:szCs w:val="28"/>
          <w:highlight w:val="none"/>
          <w:lang w:bidi="ar"/>
        </w:rPr>
        <w:t>综合评分法</w:t>
      </w:r>
    </w:p>
    <w:p w14:paraId="012C9C63">
      <w:pPr>
        <w:widowControl/>
        <w:ind w:firstLine="482"/>
        <w:jc w:val="left"/>
        <w:rPr>
          <w:color w:val="auto"/>
          <w:highlight w:val="none"/>
        </w:rPr>
      </w:pPr>
      <w:r>
        <w:rPr>
          <w:rFonts w:hint="eastAsia" w:ascii="宋体" w:hAnsi="宋体" w:cs="宋体"/>
          <w:b/>
          <w:bCs/>
          <w:color w:val="auto"/>
          <w:highlight w:val="none"/>
          <w:lang w:bidi="ar"/>
        </w:rPr>
        <w:t>1.价格分（10分）</w:t>
      </w:r>
    </w:p>
    <w:p w14:paraId="117EFC6C">
      <w:pPr>
        <w:widowControl/>
        <w:ind w:firstLine="480"/>
        <w:jc w:val="left"/>
        <w:rPr>
          <w:rFonts w:ascii="宋体" w:hAnsi="宋体" w:cs="宋体"/>
          <w:color w:val="auto"/>
          <w:highlight w:val="none"/>
          <w:lang w:bidi="ar"/>
        </w:rPr>
      </w:pPr>
      <w:r>
        <w:rPr>
          <w:rFonts w:hint="eastAsia" w:ascii="宋体" w:hAnsi="宋体" w:cs="宋体"/>
          <w:color w:val="auto"/>
          <w:highlight w:val="none"/>
          <w:lang w:bidi="ar"/>
        </w:rPr>
        <w:t xml:space="preserve">采用低价优先法计算，即满足磋商文件要求且投标价格最低的投标报价为评标基准价，其价格分为满分。其他投标人的价格分统一按照下列公式计算： </w:t>
      </w:r>
    </w:p>
    <w:p w14:paraId="471DB3D8">
      <w:pPr>
        <w:widowControl/>
        <w:ind w:firstLine="480"/>
        <w:jc w:val="left"/>
        <w:rPr>
          <w:rFonts w:ascii="宋体" w:hAnsi="宋体" w:cs="宋体"/>
          <w:color w:val="auto"/>
          <w:highlight w:val="none"/>
          <w:lang w:bidi="ar"/>
        </w:rPr>
      </w:pPr>
      <w:r>
        <w:rPr>
          <w:rFonts w:hint="eastAsia" w:ascii="宋体" w:hAnsi="宋体" w:cs="宋体"/>
          <w:color w:val="auto"/>
          <w:highlight w:val="none"/>
          <w:lang w:bidi="ar"/>
        </w:rPr>
        <w:t>投标报价得分=（评标基准价/投标报价）×10分。</w:t>
      </w:r>
    </w:p>
    <w:p w14:paraId="284AE224">
      <w:pPr>
        <w:widowControl/>
        <w:ind w:firstLine="480"/>
        <w:jc w:val="left"/>
        <w:rPr>
          <w:rFonts w:ascii="宋体" w:hAnsi="宋体" w:cs="宋体"/>
          <w:color w:val="auto"/>
          <w:highlight w:val="none"/>
          <w:lang w:bidi="ar"/>
        </w:rPr>
      </w:pPr>
      <w:r>
        <w:rPr>
          <w:rFonts w:hint="eastAsia" w:ascii="宋体" w:hAnsi="宋体" w:cs="宋体"/>
          <w:color w:val="auto"/>
          <w:highlight w:val="none"/>
          <w:lang w:bidi="ar"/>
        </w:rPr>
        <w:t>评标过程中，不得去掉报价中的最高报价和最低报价。</w:t>
      </w:r>
    </w:p>
    <w:p w14:paraId="55A79FC7">
      <w:pPr>
        <w:widowControl/>
        <w:numPr>
          <w:ilvl w:val="0"/>
          <w:numId w:val="0"/>
        </w:numPr>
        <w:ind w:firstLine="482"/>
        <w:jc w:val="left"/>
        <w:rPr>
          <w:rFonts w:ascii="宋体" w:hAnsi="宋体" w:cs="宋体"/>
          <w:b/>
          <w:bCs/>
          <w:color w:val="auto"/>
          <w:highlight w:val="none"/>
          <w:lang w:bidi="ar"/>
        </w:rPr>
      </w:pPr>
      <w:r>
        <w:rPr>
          <w:rFonts w:hint="eastAsia" w:ascii="宋体" w:hAnsi="宋体" w:cs="宋体"/>
          <w:b/>
          <w:bCs/>
          <w:color w:val="auto"/>
          <w:highlight w:val="none"/>
          <w:lang w:val="en-US" w:eastAsia="zh-CN" w:bidi="ar"/>
        </w:rPr>
        <w:t>2.</w:t>
      </w:r>
      <w:r>
        <w:rPr>
          <w:rFonts w:hint="eastAsia" w:ascii="宋体" w:hAnsi="宋体" w:cs="宋体"/>
          <w:b/>
          <w:bCs/>
          <w:color w:val="auto"/>
          <w:highlight w:val="none"/>
          <w:lang w:bidi="ar"/>
        </w:rPr>
        <w:t>商务技术分（90分）</w:t>
      </w:r>
    </w:p>
    <w:tbl>
      <w:tblPr>
        <w:tblStyle w:val="41"/>
        <w:tblW w:w="536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
        <w:gridCol w:w="1807"/>
        <w:gridCol w:w="7770"/>
      </w:tblGrid>
      <w:tr w14:paraId="77497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2" w:type="dxa"/>
          <w:trHeight w:val="519" w:hRule="exact"/>
        </w:trPr>
        <w:tc>
          <w:tcPr>
            <w:tcW w:w="943" w:type="pct"/>
            <w:noWrap w:val="0"/>
            <w:vAlign w:val="center"/>
          </w:tcPr>
          <w:p w14:paraId="4D8F97C7">
            <w:pPr>
              <w:widowControl w:val="0"/>
              <w:shd w:val="clear" w:color="auto"/>
              <w:spacing w:before="75" w:line="360" w:lineRule="auto"/>
              <w:ind w:left="61" w:right="50"/>
              <w:jc w:val="center"/>
              <w:rPr>
                <w:rFonts w:hint="eastAsia" w:ascii="宋体" w:hAnsi="宋体" w:eastAsia="宋体" w:cs="宋体"/>
                <w:b/>
                <w:bCs/>
                <w:sz w:val="24"/>
                <w:szCs w:val="21"/>
                <w:highlight w:val="none"/>
                <w:lang w:val="en-US" w:eastAsia="zh-CN" w:bidi="ar-SA"/>
              </w:rPr>
            </w:pPr>
            <w:bookmarkStart w:id="89" w:name="_Toc515874994"/>
            <w:bookmarkStart w:id="90" w:name="_Toc25828"/>
            <w:bookmarkStart w:id="91" w:name="_Toc2300"/>
            <w:r>
              <w:rPr>
                <w:rFonts w:hint="eastAsia" w:ascii="宋体" w:hAnsi="宋体" w:eastAsia="宋体" w:cs="宋体"/>
                <w:b/>
                <w:bCs/>
                <w:spacing w:val="-4"/>
                <w:sz w:val="24"/>
                <w:szCs w:val="21"/>
                <w:highlight w:val="none"/>
                <w:lang w:val="en-US" w:eastAsia="zh-CN" w:bidi="ar-SA"/>
              </w:rPr>
              <w:t>评审因素</w:t>
            </w:r>
          </w:p>
        </w:tc>
        <w:tc>
          <w:tcPr>
            <w:tcW w:w="4054" w:type="pct"/>
            <w:noWrap w:val="0"/>
            <w:vAlign w:val="center"/>
          </w:tcPr>
          <w:p w14:paraId="5AF30D4C">
            <w:pPr>
              <w:widowControl w:val="0"/>
              <w:shd w:val="clear" w:color="auto"/>
              <w:spacing w:before="75" w:line="360" w:lineRule="auto"/>
              <w:ind w:left="1901" w:right="1888"/>
              <w:jc w:val="center"/>
              <w:rPr>
                <w:rFonts w:hint="eastAsia" w:ascii="宋体" w:hAnsi="宋体" w:eastAsia="宋体" w:cs="宋体"/>
                <w:b/>
                <w:bCs/>
                <w:sz w:val="24"/>
                <w:szCs w:val="21"/>
                <w:highlight w:val="none"/>
                <w:lang w:val="en-US" w:eastAsia="zh-CN" w:bidi="ar-SA"/>
              </w:rPr>
            </w:pPr>
            <w:r>
              <w:rPr>
                <w:rFonts w:hint="eastAsia" w:ascii="宋体" w:hAnsi="宋体" w:eastAsia="宋体" w:cs="宋体"/>
                <w:b/>
                <w:bCs/>
                <w:spacing w:val="-4"/>
                <w:sz w:val="24"/>
                <w:szCs w:val="21"/>
                <w:highlight w:val="none"/>
                <w:lang w:val="en-US" w:eastAsia="zh-CN" w:bidi="ar-SA"/>
              </w:rPr>
              <w:t>评审标准</w:t>
            </w:r>
          </w:p>
        </w:tc>
      </w:tr>
      <w:tr w14:paraId="5706B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945" w:type="pct"/>
            <w:gridSpan w:val="2"/>
            <w:tcBorders>
              <w:left w:val="single" w:color="auto" w:sz="4" w:space="0"/>
              <w:right w:val="single" w:color="auto" w:sz="4" w:space="0"/>
            </w:tcBorders>
            <w:noWrap w:val="0"/>
            <w:vAlign w:val="center"/>
          </w:tcPr>
          <w:p w14:paraId="26362BB3">
            <w:pPr>
              <w:shd w:val="clear" w:color="auto"/>
              <w:spacing w:line="360" w:lineRule="auto"/>
              <w:ind w:firstLine="0"/>
              <w:jc w:val="center"/>
              <w:rPr>
                <w:rFonts w:hint="eastAsia" w:ascii="宋体" w:hAnsi="宋体" w:eastAsia="宋体" w:cs="宋体"/>
                <w:spacing w:val="-2"/>
                <w:position w:val="6"/>
                <w:sz w:val="24"/>
                <w:szCs w:val="24"/>
                <w:highlight w:val="none"/>
              </w:rPr>
            </w:pPr>
            <w:r>
              <w:rPr>
                <w:rFonts w:hint="eastAsia" w:ascii="宋体" w:hAnsi="宋体" w:eastAsia="宋体" w:cs="宋体"/>
                <w:spacing w:val="-2"/>
                <w:position w:val="6"/>
                <w:sz w:val="24"/>
                <w:szCs w:val="24"/>
                <w:highlight w:val="none"/>
              </w:rPr>
              <w:t>类似业绩</w:t>
            </w:r>
          </w:p>
          <w:p w14:paraId="1AB8DE32">
            <w:pPr>
              <w:shd w:val="clear" w:color="auto"/>
              <w:spacing w:line="360" w:lineRule="auto"/>
              <w:ind w:firstLine="0"/>
              <w:jc w:val="center"/>
              <w:rPr>
                <w:rFonts w:hint="eastAsia" w:ascii="宋体" w:hAnsi="宋体" w:eastAsia="宋体" w:cs="宋体"/>
                <w:sz w:val="21"/>
                <w:szCs w:val="21"/>
                <w:highlight w:val="none"/>
              </w:rPr>
            </w:pPr>
            <w:r>
              <w:rPr>
                <w:rFonts w:hint="eastAsia" w:ascii="宋体" w:hAnsi="宋体" w:eastAsia="宋体" w:cs="宋体"/>
                <w:spacing w:val="-2"/>
                <w:position w:val="6"/>
                <w:sz w:val="24"/>
                <w:szCs w:val="24"/>
                <w:highlight w:val="none"/>
              </w:rPr>
              <w:t>（</w:t>
            </w:r>
            <w:r>
              <w:rPr>
                <w:rFonts w:hint="eastAsia" w:ascii="宋体" w:hAnsi="宋体" w:cs="宋体"/>
                <w:spacing w:val="-2"/>
                <w:position w:val="6"/>
                <w:sz w:val="24"/>
                <w:szCs w:val="24"/>
                <w:highlight w:val="none"/>
                <w:lang w:val="en-US" w:eastAsia="zh-CN"/>
              </w:rPr>
              <w:t>15</w:t>
            </w:r>
            <w:r>
              <w:rPr>
                <w:rFonts w:hint="eastAsia" w:ascii="宋体" w:hAnsi="宋体" w:eastAsia="宋体" w:cs="宋体"/>
                <w:spacing w:val="-2"/>
                <w:position w:val="6"/>
                <w:sz w:val="24"/>
                <w:szCs w:val="24"/>
                <w:highlight w:val="none"/>
              </w:rPr>
              <w:t>分）</w:t>
            </w:r>
          </w:p>
        </w:tc>
        <w:tc>
          <w:tcPr>
            <w:tcW w:w="4054" w:type="pct"/>
            <w:tcBorders>
              <w:top w:val="single" w:color="auto" w:sz="4" w:space="0"/>
              <w:left w:val="single" w:color="auto" w:sz="4" w:space="0"/>
              <w:bottom w:val="single" w:color="auto" w:sz="4" w:space="0"/>
              <w:right w:val="single" w:color="auto" w:sz="4" w:space="0"/>
            </w:tcBorders>
            <w:noWrap w:val="0"/>
            <w:vAlign w:val="center"/>
          </w:tcPr>
          <w:p w14:paraId="7AA38956">
            <w:pPr>
              <w:shd w:val="clear" w:color="auto"/>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lang w:val="en-US" w:eastAsia="zh-CN"/>
              </w:rPr>
              <w:t>供应商自2021年1月1日至今，承接过类似项目的，每有一个业绩得5分，本项最高得15分。</w:t>
            </w:r>
          </w:p>
          <w:p w14:paraId="40DF25B3">
            <w:pPr>
              <w:shd w:val="clear" w:color="auto"/>
              <w:spacing w:line="360" w:lineRule="auto"/>
              <w:ind w:firstLine="240"/>
              <w:jc w:val="left"/>
              <w:rPr>
                <w:rFonts w:hint="default" w:ascii="宋体" w:hAnsi="宋体" w:eastAsia="宋体"/>
                <w:color w:val="000000"/>
                <w:sz w:val="24"/>
                <w:highlight w:val="none"/>
              </w:rPr>
            </w:pPr>
            <w:r>
              <w:rPr>
                <w:rFonts w:hint="default" w:ascii="宋体" w:hAnsi="宋体" w:eastAsia="宋体"/>
                <w:color w:val="000000"/>
                <w:sz w:val="24"/>
                <w:highlight w:val="none"/>
                <w:lang w:val="en-US" w:eastAsia="zh-CN"/>
              </w:rPr>
              <w:t>注：须提供服务合同原件扫描件上传至电子投标文件中，时间以合同签订日期为准，未提供不得分。</w:t>
            </w:r>
          </w:p>
        </w:tc>
      </w:tr>
      <w:tr w14:paraId="38412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945" w:type="pct"/>
            <w:gridSpan w:val="2"/>
            <w:tcBorders>
              <w:left w:val="single" w:color="auto" w:sz="4" w:space="0"/>
              <w:right w:val="single" w:color="auto" w:sz="4" w:space="0"/>
            </w:tcBorders>
            <w:noWrap w:val="0"/>
            <w:vAlign w:val="center"/>
          </w:tcPr>
          <w:p w14:paraId="71E34F57">
            <w:pPr>
              <w:shd w:val="clear" w:color="auto"/>
              <w:spacing w:line="360" w:lineRule="auto"/>
              <w:ind w:firstLine="0"/>
              <w:jc w:val="center"/>
              <w:rPr>
                <w:rFonts w:hint="default" w:ascii="宋体" w:hAnsi="宋体" w:eastAsia="宋体" w:cs="宋体"/>
                <w:spacing w:val="-2"/>
                <w:position w:val="6"/>
                <w:sz w:val="24"/>
                <w:szCs w:val="24"/>
                <w:highlight w:val="none"/>
              </w:rPr>
            </w:pPr>
            <w:r>
              <w:rPr>
                <w:rFonts w:hint="eastAsia" w:ascii="宋体" w:hAnsi="宋体" w:eastAsia="宋体" w:cs="宋体"/>
                <w:spacing w:val="-2"/>
                <w:position w:val="6"/>
                <w:sz w:val="24"/>
                <w:szCs w:val="24"/>
                <w:highlight w:val="none"/>
                <w:lang w:val="en-US" w:eastAsia="zh-CN"/>
              </w:rPr>
              <w:t>设备配备</w:t>
            </w:r>
          </w:p>
          <w:p w14:paraId="26C83AFD">
            <w:pPr>
              <w:shd w:val="clear" w:color="auto"/>
              <w:spacing w:line="360" w:lineRule="auto"/>
              <w:ind w:firstLine="0"/>
              <w:jc w:val="center"/>
              <w:rPr>
                <w:rFonts w:hint="default"/>
                <w:sz w:val="21"/>
                <w:highlight w:val="none"/>
              </w:rPr>
            </w:pPr>
            <w:r>
              <w:rPr>
                <w:rFonts w:hint="eastAsia" w:ascii="宋体" w:hAnsi="宋体" w:eastAsia="宋体" w:cs="宋体"/>
                <w:spacing w:val="-2"/>
                <w:position w:val="6"/>
                <w:sz w:val="24"/>
                <w:szCs w:val="24"/>
                <w:highlight w:val="none"/>
                <w:lang w:val="en-US" w:eastAsia="zh-CN"/>
              </w:rPr>
              <w:t>（20分）</w:t>
            </w:r>
          </w:p>
        </w:tc>
        <w:tc>
          <w:tcPr>
            <w:tcW w:w="4054" w:type="pct"/>
            <w:tcBorders>
              <w:top w:val="single" w:color="auto" w:sz="4" w:space="0"/>
              <w:left w:val="single" w:color="auto" w:sz="4" w:space="0"/>
              <w:bottom w:val="single" w:color="auto" w:sz="4" w:space="0"/>
              <w:right w:val="single" w:color="auto" w:sz="4" w:space="0"/>
            </w:tcBorders>
            <w:noWrap w:val="0"/>
            <w:vAlign w:val="center"/>
          </w:tcPr>
          <w:p w14:paraId="4482A854">
            <w:pPr>
              <w:shd w:val="clear" w:color="auto"/>
              <w:spacing w:line="360" w:lineRule="auto"/>
              <w:ind w:firstLine="0"/>
              <w:jc w:val="left"/>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1、投标人(自有</w:t>
            </w:r>
            <w:r>
              <w:rPr>
                <w:rFonts w:hint="eastAsia" w:ascii="宋体" w:hAnsi="宋体"/>
                <w:color w:val="000000"/>
                <w:sz w:val="24"/>
                <w:highlight w:val="none"/>
                <w:lang w:val="en-US" w:eastAsia="zh-CN"/>
              </w:rPr>
              <w:t>或</w:t>
            </w:r>
            <w:r>
              <w:rPr>
                <w:rFonts w:hint="eastAsia" w:ascii="宋体" w:hAnsi="宋体" w:eastAsia="宋体"/>
                <w:color w:val="000000"/>
                <w:sz w:val="24"/>
                <w:highlight w:val="none"/>
                <w:lang w:val="en-US" w:eastAsia="zh-CN"/>
              </w:rPr>
              <w:t>租赁（或承诺中标后自有</w:t>
            </w:r>
            <w:r>
              <w:rPr>
                <w:rFonts w:hint="eastAsia" w:ascii="宋体" w:hAnsi="宋体"/>
                <w:color w:val="000000"/>
                <w:sz w:val="24"/>
                <w:highlight w:val="none"/>
                <w:lang w:val="en-US" w:eastAsia="zh-CN"/>
              </w:rPr>
              <w:t>或</w:t>
            </w:r>
            <w:r>
              <w:rPr>
                <w:rFonts w:hint="eastAsia" w:ascii="宋体" w:hAnsi="宋体" w:eastAsia="宋体"/>
                <w:color w:val="000000"/>
                <w:sz w:val="24"/>
                <w:highlight w:val="none"/>
                <w:lang w:val="en-US" w:eastAsia="zh-CN"/>
              </w:rPr>
              <w:t xml:space="preserve">租赁）垃圾清运车，每有1辆得5分，本项最高得10分； </w:t>
            </w:r>
          </w:p>
          <w:p w14:paraId="0EBEE97C">
            <w:pPr>
              <w:shd w:val="clear" w:color="auto"/>
              <w:spacing w:line="360" w:lineRule="auto"/>
              <w:ind w:firstLine="0"/>
              <w:jc w:val="left"/>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2、投标人(自有</w:t>
            </w:r>
            <w:r>
              <w:rPr>
                <w:rFonts w:hint="eastAsia" w:ascii="宋体" w:hAnsi="宋体"/>
                <w:color w:val="000000"/>
                <w:sz w:val="24"/>
                <w:highlight w:val="none"/>
                <w:lang w:val="en-US" w:eastAsia="zh-CN"/>
              </w:rPr>
              <w:t>或</w:t>
            </w:r>
            <w:r>
              <w:rPr>
                <w:rFonts w:hint="eastAsia" w:ascii="宋体" w:hAnsi="宋体" w:eastAsia="宋体"/>
                <w:color w:val="000000"/>
                <w:sz w:val="24"/>
                <w:highlight w:val="none"/>
                <w:lang w:val="en-US" w:eastAsia="zh-CN"/>
              </w:rPr>
              <w:t>租赁（或承诺中标后自有</w:t>
            </w:r>
            <w:r>
              <w:rPr>
                <w:rFonts w:hint="eastAsia" w:ascii="宋体" w:hAnsi="宋体"/>
                <w:color w:val="000000"/>
                <w:sz w:val="24"/>
                <w:highlight w:val="none"/>
                <w:lang w:val="en-US" w:eastAsia="zh-CN"/>
              </w:rPr>
              <w:t>或</w:t>
            </w:r>
            <w:r>
              <w:rPr>
                <w:rFonts w:hint="eastAsia" w:ascii="宋体" w:hAnsi="宋体" w:eastAsia="宋体"/>
                <w:color w:val="000000"/>
                <w:sz w:val="24"/>
                <w:highlight w:val="none"/>
                <w:lang w:val="en-US" w:eastAsia="zh-CN"/>
              </w:rPr>
              <w:t>租赁）洒水车得5分，本项最高得 5分。</w:t>
            </w:r>
          </w:p>
          <w:p w14:paraId="03A5C34A">
            <w:pPr>
              <w:shd w:val="clear" w:color="auto"/>
              <w:spacing w:line="360" w:lineRule="auto"/>
              <w:ind w:firstLine="0"/>
              <w:jc w:val="left"/>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3、投标人(自有</w:t>
            </w:r>
            <w:r>
              <w:rPr>
                <w:rFonts w:hint="eastAsia" w:ascii="宋体" w:hAnsi="宋体"/>
                <w:color w:val="000000"/>
                <w:sz w:val="24"/>
                <w:highlight w:val="none"/>
                <w:lang w:val="en-US" w:eastAsia="zh-CN"/>
              </w:rPr>
              <w:t>或</w:t>
            </w:r>
            <w:r>
              <w:rPr>
                <w:rFonts w:hint="eastAsia" w:ascii="宋体" w:hAnsi="宋体" w:eastAsia="宋体"/>
                <w:color w:val="000000"/>
                <w:sz w:val="24"/>
                <w:highlight w:val="none"/>
                <w:lang w:val="en-US" w:eastAsia="zh-CN"/>
              </w:rPr>
              <w:t>租赁（或承诺中标后自有</w:t>
            </w:r>
            <w:r>
              <w:rPr>
                <w:rFonts w:hint="eastAsia" w:ascii="宋体" w:hAnsi="宋体"/>
                <w:color w:val="000000"/>
                <w:sz w:val="24"/>
                <w:highlight w:val="none"/>
                <w:lang w:val="en-US" w:eastAsia="zh-CN"/>
              </w:rPr>
              <w:t>或</w:t>
            </w:r>
            <w:r>
              <w:rPr>
                <w:rFonts w:hint="eastAsia" w:ascii="宋体" w:hAnsi="宋体" w:eastAsia="宋体"/>
                <w:color w:val="000000"/>
                <w:sz w:val="24"/>
                <w:highlight w:val="none"/>
                <w:lang w:val="en-US" w:eastAsia="zh-CN"/>
              </w:rPr>
              <w:t>租赁）道路洗扫车得5分，本项最高得5分。</w:t>
            </w:r>
          </w:p>
          <w:p w14:paraId="783CC95F">
            <w:pPr>
              <w:shd w:val="clear" w:color="auto"/>
              <w:spacing w:line="360" w:lineRule="auto"/>
              <w:ind w:firstLine="0"/>
              <w:jc w:val="left"/>
              <w:rPr>
                <w:rFonts w:hint="default" w:ascii="宋体" w:hAnsi="宋体" w:eastAsia="宋体"/>
                <w:color w:val="000000"/>
                <w:sz w:val="24"/>
                <w:highlight w:val="none"/>
              </w:rPr>
            </w:pPr>
            <w:r>
              <w:rPr>
                <w:rFonts w:hint="eastAsia" w:ascii="宋体" w:hAnsi="宋体" w:eastAsia="宋体"/>
                <w:color w:val="000000"/>
                <w:sz w:val="24"/>
                <w:highlight w:val="none"/>
                <w:lang w:val="en-US" w:eastAsia="zh-CN"/>
              </w:rPr>
              <w:t>注：自有须提供购车发票原件及行驶证原件扫描件；租赁的须提供租赁合同原件及行驶证原件扫描件并加盖公章上传到电子投标文件中；承诺中标后自有</w:t>
            </w:r>
            <w:r>
              <w:rPr>
                <w:rFonts w:hint="eastAsia" w:ascii="宋体" w:hAnsi="宋体"/>
                <w:color w:val="000000"/>
                <w:sz w:val="24"/>
                <w:highlight w:val="none"/>
                <w:lang w:val="en-US" w:eastAsia="zh-CN"/>
              </w:rPr>
              <w:t>或</w:t>
            </w:r>
            <w:r>
              <w:rPr>
                <w:rFonts w:hint="eastAsia" w:ascii="宋体" w:hAnsi="宋体" w:eastAsia="宋体"/>
                <w:color w:val="000000"/>
                <w:sz w:val="24"/>
                <w:highlight w:val="none"/>
                <w:lang w:val="en-US" w:eastAsia="zh-CN"/>
              </w:rPr>
              <w:t>租赁的提供承诺函；以上证明材料三选一提供，未提供不得分。</w:t>
            </w:r>
          </w:p>
        </w:tc>
      </w:tr>
      <w:tr w14:paraId="6F424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945" w:type="pct"/>
            <w:gridSpan w:val="2"/>
            <w:tcBorders>
              <w:left w:val="single" w:color="auto" w:sz="4" w:space="0"/>
              <w:right w:val="single" w:color="auto" w:sz="4" w:space="0"/>
            </w:tcBorders>
            <w:noWrap w:val="0"/>
            <w:vAlign w:val="center"/>
          </w:tcPr>
          <w:p w14:paraId="15C1A5C9">
            <w:pPr>
              <w:shd w:val="clear" w:color="auto"/>
              <w:spacing w:before="183" w:line="360" w:lineRule="auto"/>
              <w:ind w:firstLine="0"/>
              <w:jc w:val="center"/>
              <w:rPr>
                <w:rFonts w:hint="default" w:ascii="宋体" w:hAnsi="宋体" w:eastAsia="宋体" w:cs="宋体"/>
                <w:sz w:val="24"/>
                <w:szCs w:val="24"/>
                <w:highlight w:val="none"/>
              </w:rPr>
            </w:pPr>
            <w:r>
              <w:rPr>
                <w:rFonts w:hint="eastAsia" w:ascii="宋体" w:hAnsi="宋体" w:eastAsia="宋体" w:cs="宋体"/>
                <w:color w:val="000000"/>
                <w:sz w:val="24"/>
                <w:szCs w:val="24"/>
                <w:highlight w:val="none"/>
              </w:rPr>
              <w:t>道路人工保洁管理方案（</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tc>
        <w:tc>
          <w:tcPr>
            <w:tcW w:w="4054" w:type="pct"/>
            <w:tcBorders>
              <w:top w:val="single" w:color="auto" w:sz="4" w:space="0"/>
              <w:left w:val="single" w:color="auto" w:sz="4" w:space="0"/>
              <w:bottom w:val="single" w:color="auto" w:sz="4" w:space="0"/>
              <w:right w:val="single" w:color="auto" w:sz="4" w:space="0"/>
            </w:tcBorders>
            <w:noWrap w:val="0"/>
            <w:vAlign w:val="top"/>
          </w:tcPr>
          <w:p w14:paraId="360DF3AB">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提供的方案内容中至少包含项目组成员清单、人工作业方案、作业人员配置及排班情况、人员缺失后增补措施、人员工具配备等内容。</w:t>
            </w:r>
          </w:p>
          <w:p w14:paraId="7EC8A566">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方案科学、合理、针对性强、符合采购需求的，得</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1F6005B8">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方案较科学、合理、针对性</w:t>
            </w:r>
            <w:r>
              <w:rPr>
                <w:rFonts w:hint="eastAsia" w:ascii="宋体" w:hAnsi="宋体" w:eastAsia="宋体" w:cs="宋体"/>
                <w:color w:val="000000"/>
                <w:sz w:val="24"/>
                <w:szCs w:val="24"/>
                <w:highlight w:val="none"/>
                <w:lang w:eastAsia="zh-CN"/>
              </w:rPr>
              <w:t>较强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较</w:t>
            </w:r>
            <w:r>
              <w:rPr>
                <w:rFonts w:hint="eastAsia" w:ascii="宋体" w:hAnsi="宋体" w:eastAsia="宋体" w:cs="宋体"/>
                <w:color w:val="000000"/>
                <w:sz w:val="24"/>
                <w:szCs w:val="24"/>
                <w:highlight w:val="none"/>
              </w:rPr>
              <w:t>符合采购需求的，得</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分；</w:t>
            </w:r>
          </w:p>
          <w:p w14:paraId="4A6C17D5">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方案基本合理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可行</w:t>
            </w:r>
            <w:r>
              <w:rPr>
                <w:rFonts w:hint="eastAsia" w:ascii="宋体" w:hAnsi="宋体" w:eastAsia="宋体" w:cs="宋体"/>
                <w:color w:val="000000"/>
                <w:sz w:val="24"/>
                <w:szCs w:val="24"/>
                <w:highlight w:val="none"/>
                <w:lang w:eastAsia="zh-CN"/>
              </w:rPr>
              <w:t>，基本</w:t>
            </w:r>
            <w:r>
              <w:rPr>
                <w:rFonts w:hint="eastAsia" w:ascii="宋体" w:hAnsi="宋体" w:eastAsia="宋体" w:cs="宋体"/>
                <w:color w:val="000000"/>
                <w:sz w:val="24"/>
                <w:szCs w:val="24"/>
                <w:highlight w:val="none"/>
              </w:rPr>
              <w:t>符合采购需求的，得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00CBF347">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方案合理性、可行性一般的，得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p w14:paraId="140F3F1A">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未见阐述不得分。</w:t>
            </w:r>
          </w:p>
        </w:tc>
      </w:tr>
      <w:tr w14:paraId="4F526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945" w:type="pct"/>
            <w:gridSpan w:val="2"/>
            <w:tcBorders>
              <w:left w:val="single" w:color="auto" w:sz="4" w:space="0"/>
              <w:right w:val="single" w:color="auto" w:sz="4" w:space="0"/>
            </w:tcBorders>
            <w:noWrap w:val="0"/>
            <w:vAlign w:val="center"/>
          </w:tcPr>
          <w:p w14:paraId="0FFE7C63">
            <w:pPr>
              <w:widowControl/>
              <w:shd w:val="clear" w:color="auto"/>
              <w:spacing w:line="360" w:lineRule="auto"/>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环卫机械化作业管理方案</w:t>
            </w:r>
          </w:p>
          <w:p w14:paraId="7DC79203">
            <w:pPr>
              <w:widowControl w:val="0"/>
              <w:spacing w:line="360" w:lineRule="auto"/>
              <w:jc w:val="center"/>
              <w:rPr>
                <w:rFonts w:hint="eastAsia" w:ascii="宋体" w:hAnsi="Times New Roman"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（10分）</w:t>
            </w:r>
          </w:p>
        </w:tc>
        <w:tc>
          <w:tcPr>
            <w:tcW w:w="4054" w:type="pct"/>
            <w:tcBorders>
              <w:top w:val="single" w:color="auto" w:sz="4" w:space="0"/>
              <w:left w:val="single" w:color="auto" w:sz="4" w:space="0"/>
              <w:bottom w:val="single" w:color="auto" w:sz="4" w:space="0"/>
              <w:right w:val="single" w:color="auto" w:sz="4" w:space="0"/>
            </w:tcBorders>
            <w:noWrap w:val="0"/>
            <w:vAlign w:val="top"/>
          </w:tcPr>
          <w:p w14:paraId="39EA46B5">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提供的方案内容中至少包含机械化设备配备清单、机械化设备作业方案、机械化车辆作业时间表及作业线路、机械化设备管理制度、车辆故障或缺失增补措施、用车人员管理制度、用车人员岗位职责、设备保养方案等。</w:t>
            </w:r>
          </w:p>
          <w:p w14:paraId="113DC334">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方案科学、合理、针对性强、符合采购需求的，得</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3A73778F">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方案较科学、合理、针对性</w:t>
            </w:r>
            <w:r>
              <w:rPr>
                <w:rFonts w:hint="eastAsia" w:ascii="宋体" w:hAnsi="宋体" w:eastAsia="宋体" w:cs="宋体"/>
                <w:color w:val="000000"/>
                <w:sz w:val="24"/>
                <w:szCs w:val="24"/>
                <w:highlight w:val="none"/>
                <w:lang w:eastAsia="zh-CN"/>
              </w:rPr>
              <w:t>较强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较</w:t>
            </w:r>
            <w:r>
              <w:rPr>
                <w:rFonts w:hint="eastAsia" w:ascii="宋体" w:hAnsi="宋体" w:eastAsia="宋体" w:cs="宋体"/>
                <w:color w:val="000000"/>
                <w:sz w:val="24"/>
                <w:szCs w:val="24"/>
                <w:highlight w:val="none"/>
              </w:rPr>
              <w:t>符合采购需求的，得</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分；</w:t>
            </w:r>
          </w:p>
          <w:p w14:paraId="2F65A6CA">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方案基本合理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可行</w:t>
            </w:r>
            <w:r>
              <w:rPr>
                <w:rFonts w:hint="eastAsia" w:ascii="宋体" w:hAnsi="宋体" w:eastAsia="宋体" w:cs="宋体"/>
                <w:color w:val="000000"/>
                <w:sz w:val="24"/>
                <w:szCs w:val="24"/>
                <w:highlight w:val="none"/>
                <w:lang w:eastAsia="zh-CN"/>
              </w:rPr>
              <w:t>，基本</w:t>
            </w:r>
            <w:r>
              <w:rPr>
                <w:rFonts w:hint="eastAsia" w:ascii="宋体" w:hAnsi="宋体" w:eastAsia="宋体" w:cs="宋体"/>
                <w:color w:val="000000"/>
                <w:sz w:val="24"/>
                <w:szCs w:val="24"/>
                <w:highlight w:val="none"/>
              </w:rPr>
              <w:t>符合采购需求的，得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15F4CD17">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方案合理性、可行性一般的，得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p w14:paraId="0459D562">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未见阐述不得分。</w:t>
            </w:r>
          </w:p>
        </w:tc>
      </w:tr>
      <w:tr w14:paraId="11079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945" w:type="pct"/>
            <w:gridSpan w:val="2"/>
            <w:tcBorders>
              <w:left w:val="single" w:color="auto" w:sz="4" w:space="0"/>
              <w:right w:val="single" w:color="auto" w:sz="4" w:space="0"/>
            </w:tcBorders>
            <w:noWrap w:val="0"/>
            <w:vAlign w:val="center"/>
          </w:tcPr>
          <w:p w14:paraId="2E67AE6A">
            <w:pPr>
              <w:widowControl/>
              <w:shd w:val="clear" w:color="auto"/>
              <w:spacing w:line="360" w:lineRule="auto"/>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垃圾收集、清运管理方案</w:t>
            </w:r>
          </w:p>
          <w:p w14:paraId="77F61B79">
            <w:pPr>
              <w:widowControl/>
              <w:shd w:val="clear" w:color="auto"/>
              <w:spacing w:line="360" w:lineRule="auto"/>
              <w:ind w:firstLine="0"/>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分）</w:t>
            </w:r>
          </w:p>
        </w:tc>
        <w:tc>
          <w:tcPr>
            <w:tcW w:w="4054" w:type="pct"/>
            <w:tcBorders>
              <w:top w:val="single" w:color="auto" w:sz="4" w:space="0"/>
              <w:left w:val="single" w:color="auto" w:sz="4" w:space="0"/>
              <w:bottom w:val="single" w:color="auto" w:sz="4" w:space="0"/>
              <w:right w:val="single" w:color="auto" w:sz="4" w:space="0"/>
            </w:tcBorders>
            <w:noWrap w:val="0"/>
            <w:vAlign w:val="top"/>
          </w:tcPr>
          <w:p w14:paraId="32887EA6">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提供的方案中须至少体现垃圾收集、清运作业方案、人员配备、作业时间安排、工具配备、车辆安排、人员管理制度及岗位职责等基本要求。</w:t>
            </w:r>
          </w:p>
          <w:p w14:paraId="2205153F">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方案科学、合理、针对性强、符合采购需求的，得</w:t>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分；</w:t>
            </w:r>
          </w:p>
          <w:p w14:paraId="365BAB9D">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方案较科学、合理、针对性</w:t>
            </w:r>
            <w:r>
              <w:rPr>
                <w:rFonts w:hint="eastAsia" w:ascii="宋体" w:hAnsi="宋体" w:eastAsia="宋体" w:cs="宋体"/>
                <w:color w:val="000000"/>
                <w:sz w:val="24"/>
                <w:szCs w:val="24"/>
                <w:highlight w:val="none"/>
                <w:lang w:eastAsia="zh-CN"/>
              </w:rPr>
              <w:t>较强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较</w:t>
            </w:r>
            <w:r>
              <w:rPr>
                <w:rFonts w:hint="eastAsia" w:ascii="宋体" w:hAnsi="宋体" w:eastAsia="宋体" w:cs="宋体"/>
                <w:color w:val="000000"/>
                <w:sz w:val="24"/>
                <w:szCs w:val="24"/>
                <w:highlight w:val="none"/>
              </w:rPr>
              <w:t>符合采购需求的，得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0F5C103A">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方案基本合理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可行</w:t>
            </w:r>
            <w:r>
              <w:rPr>
                <w:rFonts w:hint="eastAsia" w:ascii="宋体" w:hAnsi="宋体" w:eastAsia="宋体" w:cs="宋体"/>
                <w:color w:val="000000"/>
                <w:sz w:val="24"/>
                <w:szCs w:val="24"/>
                <w:highlight w:val="none"/>
                <w:lang w:eastAsia="zh-CN"/>
              </w:rPr>
              <w:t>，基本</w:t>
            </w:r>
            <w:r>
              <w:rPr>
                <w:rFonts w:hint="eastAsia" w:ascii="宋体" w:hAnsi="宋体" w:eastAsia="宋体" w:cs="宋体"/>
                <w:color w:val="000000"/>
                <w:sz w:val="24"/>
                <w:szCs w:val="24"/>
                <w:highlight w:val="none"/>
              </w:rPr>
              <w:t>符合采购需求的，得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657AAFB0">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方案合理性、可行性一般的，得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p>
          <w:p w14:paraId="3F5E814B">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未见阐述不得分。</w:t>
            </w:r>
          </w:p>
        </w:tc>
      </w:tr>
      <w:tr w14:paraId="4F127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945" w:type="pct"/>
            <w:gridSpan w:val="2"/>
            <w:tcBorders>
              <w:top w:val="single" w:color="auto" w:sz="4" w:space="0"/>
              <w:left w:val="single" w:color="auto" w:sz="4" w:space="0"/>
              <w:bottom w:val="single" w:color="auto" w:sz="4" w:space="0"/>
              <w:right w:val="single" w:color="auto" w:sz="4" w:space="0"/>
            </w:tcBorders>
            <w:noWrap w:val="0"/>
            <w:vAlign w:val="center"/>
          </w:tcPr>
          <w:p w14:paraId="344F2C52">
            <w:pPr>
              <w:shd w:val="clear" w:color="auto"/>
              <w:spacing w:line="360" w:lineRule="auto"/>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应急和重大活动保障方案</w:t>
            </w:r>
          </w:p>
          <w:p w14:paraId="3067C96E">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 xml:space="preserve">分） </w:t>
            </w:r>
          </w:p>
          <w:p w14:paraId="5DCC3FE2">
            <w:pPr>
              <w:spacing w:line="360" w:lineRule="auto"/>
              <w:ind w:firstLine="0"/>
              <w:jc w:val="center"/>
              <w:rPr>
                <w:rFonts w:hint="eastAsia" w:ascii="宋体" w:hAnsi="宋体" w:eastAsia="宋体" w:cs="宋体"/>
                <w:sz w:val="24"/>
                <w:szCs w:val="24"/>
                <w:highlight w:val="none"/>
              </w:rPr>
            </w:pPr>
          </w:p>
        </w:tc>
        <w:tc>
          <w:tcPr>
            <w:tcW w:w="4054" w:type="pct"/>
            <w:tcBorders>
              <w:top w:val="single" w:color="auto" w:sz="4" w:space="0"/>
              <w:left w:val="single" w:color="auto" w:sz="4" w:space="0"/>
              <w:bottom w:val="single" w:color="auto" w:sz="4" w:space="0"/>
              <w:right w:val="single" w:color="auto" w:sz="4" w:space="0"/>
            </w:tcBorders>
            <w:noWrap w:val="0"/>
            <w:vAlign w:val="top"/>
          </w:tcPr>
          <w:p w14:paraId="4761F8E1">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提供的方案内容中至少提供《重大活动保障应急预案》、《特殊季节性保洁应急预案》、《道路大面积污染应急预案》、《除雪应急预案》、《台风暴雨等恶劣天气应急预案》这五类预案。</w:t>
            </w:r>
          </w:p>
          <w:p w14:paraId="2DC46EE4">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方案科学、合理、针对性强、符合采购需求的，得</w:t>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分；</w:t>
            </w:r>
          </w:p>
          <w:p w14:paraId="101B8A5E">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方案较科学、合理、针对性</w:t>
            </w:r>
            <w:r>
              <w:rPr>
                <w:rFonts w:hint="eastAsia" w:ascii="宋体" w:hAnsi="宋体" w:eastAsia="宋体" w:cs="宋体"/>
                <w:color w:val="000000"/>
                <w:sz w:val="24"/>
                <w:szCs w:val="24"/>
                <w:highlight w:val="none"/>
                <w:lang w:eastAsia="zh-CN"/>
              </w:rPr>
              <w:t>较强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较</w:t>
            </w:r>
            <w:r>
              <w:rPr>
                <w:rFonts w:hint="eastAsia" w:ascii="宋体" w:hAnsi="宋体" w:eastAsia="宋体" w:cs="宋体"/>
                <w:color w:val="000000"/>
                <w:sz w:val="24"/>
                <w:szCs w:val="24"/>
                <w:highlight w:val="none"/>
              </w:rPr>
              <w:t>符合采购需求的，得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558FB049">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方案基本合理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可行</w:t>
            </w:r>
            <w:r>
              <w:rPr>
                <w:rFonts w:hint="eastAsia" w:ascii="宋体" w:hAnsi="宋体" w:eastAsia="宋体" w:cs="宋体"/>
                <w:color w:val="000000"/>
                <w:sz w:val="24"/>
                <w:szCs w:val="24"/>
                <w:highlight w:val="none"/>
                <w:lang w:eastAsia="zh-CN"/>
              </w:rPr>
              <w:t>，基本</w:t>
            </w:r>
            <w:r>
              <w:rPr>
                <w:rFonts w:hint="eastAsia" w:ascii="宋体" w:hAnsi="宋体" w:eastAsia="宋体" w:cs="宋体"/>
                <w:color w:val="000000"/>
                <w:sz w:val="24"/>
                <w:szCs w:val="24"/>
                <w:highlight w:val="none"/>
              </w:rPr>
              <w:t>符合采购需求的，得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6D75985D">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方案合理性、可行性一般的，得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p>
          <w:p w14:paraId="47E8EF4B">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未见阐述不得分。</w:t>
            </w:r>
          </w:p>
        </w:tc>
      </w:tr>
      <w:tr w14:paraId="37AF6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4" w:hRule="atLeast"/>
        </w:trPr>
        <w:tc>
          <w:tcPr>
            <w:tcW w:w="945" w:type="pct"/>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76C2E161">
            <w:pPr>
              <w:shd w:val="clear" w:color="auto"/>
              <w:spacing w:line="360" w:lineRule="auto"/>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安全措施方案</w:t>
            </w:r>
          </w:p>
          <w:p w14:paraId="2B472C1F">
            <w:pPr>
              <w:shd w:val="clear" w:color="auto"/>
              <w:spacing w:line="360" w:lineRule="auto"/>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9分</w:t>
            </w:r>
            <w:r>
              <w:rPr>
                <w:rFonts w:hint="eastAsia" w:ascii="宋体" w:hAnsi="宋体" w:eastAsia="宋体" w:cs="宋体"/>
                <w:color w:val="000000"/>
                <w:sz w:val="24"/>
                <w:szCs w:val="24"/>
                <w:highlight w:val="none"/>
                <w:lang w:eastAsia="zh-CN"/>
              </w:rPr>
              <w:t>）</w:t>
            </w:r>
          </w:p>
        </w:tc>
        <w:tc>
          <w:tcPr>
            <w:tcW w:w="4054" w:type="pct"/>
            <w:tcBorders>
              <w:top w:val="single" w:color="auto" w:sz="4" w:space="0"/>
              <w:left w:val="single" w:color="auto" w:sz="4" w:space="0"/>
              <w:bottom w:val="single" w:color="auto" w:sz="4" w:space="0"/>
              <w:right w:val="single" w:color="auto" w:sz="4" w:space="0"/>
            </w:tcBorders>
            <w:shd w:val="clear" w:color="auto" w:fill="auto"/>
            <w:noWrap w:val="0"/>
            <w:vAlign w:val="top"/>
          </w:tcPr>
          <w:p w14:paraId="27854128">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提供的安全措施方案内容</w:t>
            </w:r>
            <w:r>
              <w:rPr>
                <w:rFonts w:hint="eastAsia" w:ascii="宋体" w:hAnsi="宋体" w:eastAsia="宋体" w:cs="宋体"/>
                <w:color w:val="000000"/>
                <w:sz w:val="24"/>
                <w:szCs w:val="24"/>
                <w:highlight w:val="none"/>
                <w:lang w:val="en-US" w:eastAsia="zh-CN"/>
              </w:rPr>
              <w:t>中至少提供</w:t>
            </w:r>
            <w:r>
              <w:rPr>
                <w:rFonts w:hint="eastAsia" w:ascii="宋体" w:hAnsi="宋体" w:eastAsia="宋体" w:cs="宋体"/>
                <w:color w:val="000000"/>
                <w:sz w:val="24"/>
                <w:szCs w:val="24"/>
                <w:highlight w:val="none"/>
              </w:rPr>
              <w:t>（包括安全预案、安全检查、安全用工、文明作业、事故处置等工作措施）。</w:t>
            </w:r>
          </w:p>
          <w:p w14:paraId="6DD9F71D">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方案整体上完备，全面具体详实、针对性强，切合实际，得</w:t>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分；</w:t>
            </w:r>
          </w:p>
          <w:p w14:paraId="7FF0EF8B">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方案较完备，内容较完整、全面具体较详实、针对性较强，符合市机关单位要求，得6分；</w:t>
            </w:r>
          </w:p>
          <w:p w14:paraId="6A426429">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方案一般，针对性不强，基本符合要求，得</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4062C33D">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方案有缺陷不完备，针对性不明显，不完全符合要求，得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p>
          <w:p w14:paraId="41F7B09B">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未见阐述不得分。</w:t>
            </w:r>
          </w:p>
        </w:tc>
      </w:tr>
      <w:tr w14:paraId="35E9C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945" w:type="pct"/>
            <w:gridSpan w:val="2"/>
            <w:tcBorders>
              <w:top w:val="single" w:color="auto" w:sz="4" w:space="0"/>
              <w:left w:val="single" w:color="auto" w:sz="4" w:space="0"/>
              <w:bottom w:val="single" w:color="auto" w:sz="4" w:space="0"/>
              <w:right w:val="single" w:color="auto" w:sz="4" w:space="0"/>
            </w:tcBorders>
            <w:noWrap w:val="0"/>
            <w:vAlign w:val="center"/>
          </w:tcPr>
          <w:p w14:paraId="7965D8A1">
            <w:pPr>
              <w:shd w:val="clear" w:color="auto"/>
              <w:spacing w:line="360" w:lineRule="auto"/>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进退场交接方案</w:t>
            </w:r>
          </w:p>
          <w:p w14:paraId="2A577EB0">
            <w:pPr>
              <w:shd w:val="clear" w:color="auto"/>
              <w:spacing w:line="360" w:lineRule="auto"/>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8分</w:t>
            </w:r>
            <w:r>
              <w:rPr>
                <w:rFonts w:hint="eastAsia" w:ascii="宋体" w:hAnsi="宋体" w:eastAsia="宋体" w:cs="宋体"/>
                <w:color w:val="000000"/>
                <w:sz w:val="24"/>
                <w:szCs w:val="24"/>
                <w:highlight w:val="none"/>
                <w:lang w:eastAsia="zh-CN"/>
              </w:rPr>
              <w:t>）</w:t>
            </w:r>
          </w:p>
        </w:tc>
        <w:tc>
          <w:tcPr>
            <w:tcW w:w="4054" w:type="pct"/>
            <w:tcBorders>
              <w:top w:val="single" w:color="auto" w:sz="4" w:space="0"/>
              <w:left w:val="single" w:color="auto" w:sz="4" w:space="0"/>
              <w:bottom w:val="single" w:color="auto" w:sz="4" w:space="0"/>
              <w:right w:val="single" w:color="auto" w:sz="4" w:space="0"/>
            </w:tcBorders>
            <w:noWrap w:val="0"/>
            <w:vAlign w:val="top"/>
          </w:tcPr>
          <w:p w14:paraId="060A324B">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供应商提供的</w:t>
            </w:r>
            <w:r>
              <w:rPr>
                <w:rFonts w:hint="eastAsia" w:ascii="宋体" w:hAnsi="宋体" w:eastAsia="宋体" w:cs="宋体"/>
                <w:color w:val="000000"/>
                <w:sz w:val="24"/>
                <w:szCs w:val="24"/>
                <w:highlight w:val="none"/>
              </w:rPr>
              <w:t>服务开始和合同到期时的交接方案，内容包含但不限于针对本项目实际情况编制交接方案、具体接管计划、正式接管前工作流程等。</w:t>
            </w:r>
          </w:p>
          <w:p w14:paraId="69B43243">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方案科学合理，</w:t>
            </w:r>
            <w:r>
              <w:rPr>
                <w:rFonts w:hint="eastAsia" w:ascii="宋体" w:hAnsi="宋体" w:eastAsia="宋体" w:cs="宋体"/>
                <w:color w:val="000000"/>
                <w:sz w:val="24"/>
                <w:szCs w:val="24"/>
                <w:highlight w:val="none"/>
                <w:lang w:val="en-US" w:eastAsia="zh-CN"/>
              </w:rPr>
              <w:t>针对性</w:t>
            </w:r>
            <w:r>
              <w:rPr>
                <w:rFonts w:hint="eastAsia" w:ascii="宋体" w:hAnsi="宋体" w:eastAsia="宋体" w:cs="宋体"/>
                <w:color w:val="000000"/>
                <w:sz w:val="24"/>
                <w:szCs w:val="24"/>
                <w:highlight w:val="none"/>
              </w:rPr>
              <w:t>内容全面，</w:t>
            </w:r>
            <w:r>
              <w:rPr>
                <w:rFonts w:hint="eastAsia" w:ascii="宋体" w:hAnsi="宋体" w:eastAsia="宋体" w:cs="宋体"/>
                <w:color w:val="000000"/>
                <w:sz w:val="24"/>
                <w:szCs w:val="24"/>
                <w:highlight w:val="none"/>
                <w:lang w:val="en-US" w:eastAsia="zh-CN"/>
              </w:rPr>
              <w:t>切实可行性</w:t>
            </w:r>
            <w:r>
              <w:rPr>
                <w:rFonts w:hint="eastAsia" w:ascii="宋体" w:hAnsi="宋体" w:eastAsia="宋体" w:cs="宋体"/>
                <w:color w:val="000000"/>
                <w:sz w:val="24"/>
                <w:szCs w:val="24"/>
                <w:highlight w:val="none"/>
              </w:rPr>
              <w:t>强的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得</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p w14:paraId="66BB55EB">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比</w:t>
            </w:r>
            <w:r>
              <w:rPr>
                <w:rFonts w:hint="eastAsia" w:ascii="宋体" w:hAnsi="宋体" w:eastAsia="宋体" w:cs="宋体"/>
                <w:color w:val="000000"/>
                <w:sz w:val="24"/>
                <w:szCs w:val="24"/>
                <w:highlight w:val="none"/>
              </w:rPr>
              <w:t>较科学合理，</w:t>
            </w:r>
            <w:r>
              <w:rPr>
                <w:rFonts w:hint="eastAsia" w:ascii="宋体" w:hAnsi="宋体" w:eastAsia="宋体" w:cs="宋体"/>
                <w:color w:val="000000"/>
                <w:sz w:val="24"/>
                <w:szCs w:val="24"/>
                <w:highlight w:val="none"/>
                <w:lang w:val="en-US" w:eastAsia="zh-CN"/>
              </w:rPr>
              <w:t>针对性</w:t>
            </w:r>
            <w:r>
              <w:rPr>
                <w:rFonts w:hint="eastAsia" w:ascii="宋体" w:hAnsi="宋体" w:eastAsia="宋体" w:cs="宋体"/>
                <w:color w:val="000000"/>
                <w:sz w:val="24"/>
                <w:szCs w:val="24"/>
                <w:highlight w:val="none"/>
              </w:rPr>
              <w:t>内容</w:t>
            </w:r>
            <w:r>
              <w:rPr>
                <w:rFonts w:hint="eastAsia" w:ascii="宋体" w:hAnsi="宋体" w:eastAsia="宋体" w:cs="宋体"/>
                <w:color w:val="000000"/>
                <w:sz w:val="24"/>
                <w:szCs w:val="24"/>
                <w:highlight w:val="none"/>
                <w:lang w:val="en-US" w:eastAsia="zh-CN"/>
              </w:rPr>
              <w:t>比较</w:t>
            </w:r>
            <w:r>
              <w:rPr>
                <w:rFonts w:hint="eastAsia" w:ascii="宋体" w:hAnsi="宋体" w:eastAsia="宋体" w:cs="宋体"/>
                <w:color w:val="000000"/>
                <w:sz w:val="24"/>
                <w:szCs w:val="24"/>
                <w:highlight w:val="none"/>
              </w:rPr>
              <w:t>全面，</w:t>
            </w:r>
            <w:r>
              <w:rPr>
                <w:rFonts w:hint="eastAsia" w:ascii="宋体" w:hAnsi="宋体" w:eastAsia="宋体" w:cs="宋体"/>
                <w:color w:val="000000"/>
                <w:sz w:val="24"/>
                <w:szCs w:val="24"/>
                <w:highlight w:val="none"/>
                <w:lang w:val="en-US" w:eastAsia="zh-CN"/>
              </w:rPr>
              <w:t>切实可行性比较</w:t>
            </w:r>
            <w:r>
              <w:rPr>
                <w:rFonts w:hint="eastAsia" w:ascii="宋体" w:hAnsi="宋体" w:eastAsia="宋体" w:cs="宋体"/>
                <w:color w:val="000000"/>
                <w:sz w:val="24"/>
                <w:szCs w:val="24"/>
                <w:highlight w:val="none"/>
              </w:rPr>
              <w:t xml:space="preserve">强的 </w:t>
            </w:r>
            <w:r>
              <w:rPr>
                <w:rFonts w:hint="eastAsia" w:ascii="宋体" w:hAnsi="宋体" w:eastAsia="宋体" w:cs="宋体"/>
                <w:color w:val="000000"/>
                <w:sz w:val="24"/>
                <w:szCs w:val="24"/>
                <w:highlight w:val="none"/>
                <w:lang w:val="en-US" w:eastAsia="zh-CN"/>
              </w:rPr>
              <w:t>,得6</w:t>
            </w:r>
            <w:r>
              <w:rPr>
                <w:rFonts w:hint="eastAsia" w:ascii="宋体" w:hAnsi="宋体" w:eastAsia="宋体" w:cs="宋体"/>
                <w:color w:val="000000"/>
                <w:sz w:val="24"/>
                <w:szCs w:val="24"/>
                <w:highlight w:val="none"/>
              </w:rPr>
              <w:t>分；</w:t>
            </w:r>
          </w:p>
          <w:p w14:paraId="657315D6">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w:t>
            </w:r>
            <w:r>
              <w:rPr>
                <w:rFonts w:hint="eastAsia" w:ascii="宋体" w:hAnsi="宋体" w:eastAsia="宋体" w:cs="宋体"/>
                <w:color w:val="000000"/>
                <w:sz w:val="24"/>
                <w:szCs w:val="24"/>
                <w:highlight w:val="none"/>
                <w:lang w:val="en-US" w:eastAsia="zh-CN"/>
              </w:rPr>
              <w:t>基本</w:t>
            </w:r>
            <w:r>
              <w:rPr>
                <w:rFonts w:hint="eastAsia" w:ascii="宋体" w:hAnsi="宋体" w:eastAsia="宋体" w:cs="宋体"/>
                <w:color w:val="000000"/>
                <w:sz w:val="24"/>
                <w:szCs w:val="24"/>
                <w:highlight w:val="none"/>
              </w:rPr>
              <w:t>科学合理，</w:t>
            </w:r>
            <w:r>
              <w:rPr>
                <w:rFonts w:hint="eastAsia" w:ascii="宋体" w:hAnsi="宋体" w:eastAsia="宋体" w:cs="宋体"/>
                <w:color w:val="000000"/>
                <w:sz w:val="24"/>
                <w:szCs w:val="24"/>
                <w:highlight w:val="none"/>
                <w:lang w:val="en-US" w:eastAsia="zh-CN"/>
              </w:rPr>
              <w:t>针对性</w:t>
            </w:r>
            <w:r>
              <w:rPr>
                <w:rFonts w:hint="eastAsia" w:ascii="宋体" w:hAnsi="宋体" w:eastAsia="宋体" w:cs="宋体"/>
                <w:color w:val="000000"/>
                <w:sz w:val="24"/>
                <w:szCs w:val="24"/>
                <w:highlight w:val="none"/>
              </w:rPr>
              <w:t>内容</w:t>
            </w:r>
            <w:r>
              <w:rPr>
                <w:rFonts w:hint="eastAsia" w:ascii="宋体" w:hAnsi="宋体" w:eastAsia="宋体" w:cs="宋体"/>
                <w:color w:val="000000"/>
                <w:sz w:val="24"/>
                <w:szCs w:val="24"/>
                <w:highlight w:val="none"/>
                <w:lang w:val="en-US" w:eastAsia="zh-CN"/>
              </w:rPr>
              <w:t>基本</w:t>
            </w:r>
            <w:r>
              <w:rPr>
                <w:rFonts w:hint="eastAsia" w:ascii="宋体" w:hAnsi="宋体" w:eastAsia="宋体" w:cs="宋体"/>
                <w:color w:val="000000"/>
                <w:sz w:val="24"/>
                <w:szCs w:val="24"/>
                <w:highlight w:val="none"/>
              </w:rPr>
              <w:t>全面，</w:t>
            </w:r>
            <w:r>
              <w:rPr>
                <w:rFonts w:hint="eastAsia" w:ascii="宋体" w:hAnsi="宋体" w:eastAsia="宋体" w:cs="宋体"/>
                <w:color w:val="000000"/>
                <w:sz w:val="24"/>
                <w:szCs w:val="24"/>
                <w:highlight w:val="none"/>
                <w:lang w:val="en-US" w:eastAsia="zh-CN"/>
              </w:rPr>
              <w:t>切实可行性基本</w:t>
            </w:r>
            <w:r>
              <w:rPr>
                <w:rFonts w:hint="eastAsia" w:ascii="宋体" w:hAnsi="宋体" w:eastAsia="宋体" w:cs="宋体"/>
                <w:color w:val="000000"/>
                <w:sz w:val="24"/>
                <w:szCs w:val="24"/>
                <w:highlight w:val="none"/>
              </w:rPr>
              <w:t>强的</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得4</w:t>
            </w:r>
            <w:r>
              <w:rPr>
                <w:rFonts w:hint="eastAsia" w:ascii="宋体" w:hAnsi="宋体" w:eastAsia="宋体" w:cs="宋体"/>
                <w:color w:val="000000"/>
                <w:sz w:val="24"/>
                <w:szCs w:val="24"/>
                <w:highlight w:val="none"/>
              </w:rPr>
              <w:t>分；</w:t>
            </w:r>
          </w:p>
          <w:p w14:paraId="5B1012FD">
            <w:pPr>
              <w:shd w:val="clear" w:color="auto"/>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方案合理性、可行性一般的，得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p>
          <w:p w14:paraId="3C744986">
            <w:pPr>
              <w:shd w:val="clear" w:color="auto"/>
              <w:spacing w:line="360" w:lineRule="auto"/>
              <w:ind w:firstLine="480"/>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未见阐述不得分。</w:t>
            </w:r>
          </w:p>
        </w:tc>
      </w:tr>
    </w:tbl>
    <w:p w14:paraId="7CDD41A0">
      <w:pPr>
        <w:ind w:left="0" w:firstLine="0"/>
        <w:rPr>
          <w:rFonts w:hint="eastAsia" w:ascii="宋体" w:hAnsi="宋体" w:cs="宋体"/>
          <w:b/>
          <w:bCs/>
          <w:color w:val="auto"/>
          <w:sz w:val="44"/>
          <w:szCs w:val="44"/>
          <w:highlight w:val="none"/>
        </w:rPr>
      </w:pPr>
      <w:bookmarkStart w:id="92" w:name="_Toc7905"/>
      <w:r>
        <w:rPr>
          <w:rFonts w:hint="eastAsia" w:ascii="宋体" w:hAnsi="宋体" w:cs="宋体"/>
          <w:b/>
          <w:bCs/>
          <w:color w:val="auto"/>
          <w:sz w:val="44"/>
          <w:szCs w:val="44"/>
          <w:highlight w:val="none"/>
        </w:rPr>
        <w:br w:type="page" w:clear="all"/>
      </w:r>
    </w:p>
    <w:p w14:paraId="1DC2656A">
      <w:pPr>
        <w:ind w:firstLine="0"/>
        <w:jc w:val="center"/>
        <w:outlineLvl w:val="0"/>
        <w:rPr>
          <w:rFonts w:ascii="宋体" w:hAnsi="宋体" w:cs="宋体"/>
          <w:color w:val="auto"/>
          <w:highlight w:val="none"/>
        </w:rPr>
      </w:pPr>
      <w:r>
        <w:rPr>
          <w:rFonts w:hint="eastAsia" w:ascii="宋体" w:hAnsi="宋体" w:cs="宋体"/>
          <w:b/>
          <w:bCs/>
          <w:color w:val="auto"/>
          <w:sz w:val="44"/>
          <w:szCs w:val="44"/>
          <w:highlight w:val="none"/>
        </w:rPr>
        <w:t>第六章 竞争性磋商响应文件格式</w:t>
      </w:r>
      <w:bookmarkEnd w:id="87"/>
      <w:bookmarkEnd w:id="88"/>
      <w:bookmarkEnd w:id="89"/>
      <w:bookmarkEnd w:id="90"/>
      <w:bookmarkEnd w:id="91"/>
      <w:bookmarkEnd w:id="92"/>
    </w:p>
    <w:p w14:paraId="7613E93E">
      <w:pPr>
        <w:spacing w:line="760" w:lineRule="exact"/>
        <w:jc w:val="center"/>
        <w:rPr>
          <w:color w:val="auto"/>
          <w:sz w:val="72"/>
          <w:szCs w:val="21"/>
          <w:highlight w:val="none"/>
        </w:rPr>
      </w:pPr>
    </w:p>
    <w:p w14:paraId="07D5ED54">
      <w:pPr>
        <w:spacing w:line="760" w:lineRule="exact"/>
        <w:jc w:val="center"/>
        <w:rPr>
          <w:color w:val="auto"/>
          <w:sz w:val="72"/>
          <w:szCs w:val="21"/>
          <w:highlight w:val="none"/>
        </w:rPr>
      </w:pPr>
      <w:r>
        <w:rPr>
          <w:color w:val="auto"/>
          <w:sz w:val="72"/>
          <w:szCs w:val="21"/>
          <w:highlight w:val="none"/>
        </w:rPr>
        <w:t>竞争性磋商响应文件</w:t>
      </w:r>
    </w:p>
    <w:p w14:paraId="5F10A268">
      <w:pPr>
        <w:pStyle w:val="557"/>
        <w:spacing w:line="500" w:lineRule="exact"/>
        <w:ind w:firstLine="0"/>
        <w:jc w:val="center"/>
        <w:rPr>
          <w:rFonts w:ascii="Times New Roman" w:hAnsi="Times New Roman"/>
          <w:bCs/>
          <w:color w:val="auto"/>
          <w:sz w:val="32"/>
          <w:highlight w:val="none"/>
        </w:rPr>
      </w:pPr>
    </w:p>
    <w:p w14:paraId="79177026">
      <w:pPr>
        <w:spacing w:line="500" w:lineRule="exact"/>
        <w:ind w:firstLine="1080"/>
        <w:rPr>
          <w:color w:val="auto"/>
          <w:sz w:val="36"/>
          <w:szCs w:val="21"/>
          <w:highlight w:val="none"/>
        </w:rPr>
      </w:pPr>
    </w:p>
    <w:p w14:paraId="1C1DF69C">
      <w:pPr>
        <w:spacing w:line="500" w:lineRule="exact"/>
        <w:ind w:firstLine="1080"/>
        <w:rPr>
          <w:color w:val="auto"/>
          <w:sz w:val="36"/>
          <w:szCs w:val="21"/>
          <w:highlight w:val="none"/>
        </w:rPr>
      </w:pPr>
    </w:p>
    <w:p w14:paraId="723BE5F3">
      <w:pPr>
        <w:spacing w:line="500" w:lineRule="exact"/>
        <w:ind w:firstLine="1080"/>
        <w:rPr>
          <w:color w:val="auto"/>
          <w:sz w:val="36"/>
          <w:szCs w:val="21"/>
          <w:highlight w:val="none"/>
        </w:rPr>
      </w:pPr>
    </w:p>
    <w:p w14:paraId="5E79075D">
      <w:pPr>
        <w:spacing w:line="500" w:lineRule="exact"/>
        <w:ind w:firstLine="1080"/>
        <w:rPr>
          <w:color w:val="auto"/>
          <w:sz w:val="36"/>
          <w:szCs w:val="21"/>
          <w:highlight w:val="none"/>
        </w:rPr>
      </w:pPr>
    </w:p>
    <w:p w14:paraId="59642412">
      <w:pPr>
        <w:spacing w:line="500" w:lineRule="exact"/>
        <w:ind w:firstLine="1080"/>
        <w:rPr>
          <w:color w:val="auto"/>
          <w:sz w:val="36"/>
          <w:szCs w:val="21"/>
          <w:highlight w:val="none"/>
        </w:rPr>
      </w:pPr>
    </w:p>
    <w:p w14:paraId="3232E81D">
      <w:pPr>
        <w:spacing w:line="500" w:lineRule="exact"/>
        <w:ind w:firstLine="1080"/>
        <w:rPr>
          <w:color w:val="auto"/>
          <w:sz w:val="36"/>
          <w:highlight w:val="none"/>
        </w:rPr>
      </w:pPr>
      <w:r>
        <w:rPr>
          <w:color w:val="auto"/>
          <w:sz w:val="36"/>
          <w:highlight w:val="none"/>
        </w:rPr>
        <w:t xml:space="preserve">项 目 名 称：【项目名称】 </w:t>
      </w:r>
    </w:p>
    <w:p w14:paraId="6C21AB3C">
      <w:pPr>
        <w:spacing w:line="500" w:lineRule="exact"/>
        <w:ind w:firstLine="1080"/>
        <w:rPr>
          <w:color w:val="auto"/>
          <w:sz w:val="36"/>
          <w:highlight w:val="none"/>
          <w:u w:val="single"/>
        </w:rPr>
      </w:pPr>
      <w:r>
        <w:rPr>
          <w:color w:val="auto"/>
          <w:sz w:val="36"/>
          <w:highlight w:val="none"/>
        </w:rPr>
        <w:t>项 目 编 号：【项目编号】</w:t>
      </w:r>
    </w:p>
    <w:p w14:paraId="1668AC94">
      <w:pPr>
        <w:spacing w:line="500" w:lineRule="exact"/>
        <w:ind w:firstLine="1080"/>
        <w:rPr>
          <w:color w:val="auto"/>
          <w:sz w:val="36"/>
          <w:highlight w:val="none"/>
        </w:rPr>
      </w:pPr>
    </w:p>
    <w:p w14:paraId="7BB75C78">
      <w:pPr>
        <w:spacing w:line="500" w:lineRule="exact"/>
        <w:ind w:firstLine="1080"/>
        <w:rPr>
          <w:color w:val="auto"/>
          <w:sz w:val="36"/>
          <w:highlight w:val="none"/>
        </w:rPr>
      </w:pPr>
    </w:p>
    <w:p w14:paraId="04546AE0">
      <w:pPr>
        <w:spacing w:line="500" w:lineRule="exact"/>
        <w:ind w:firstLine="1080"/>
        <w:rPr>
          <w:color w:val="auto"/>
          <w:sz w:val="36"/>
          <w:highlight w:val="none"/>
        </w:rPr>
      </w:pPr>
    </w:p>
    <w:p w14:paraId="5DAC8A14">
      <w:pPr>
        <w:spacing w:line="500" w:lineRule="exact"/>
        <w:ind w:firstLine="1080"/>
        <w:rPr>
          <w:color w:val="auto"/>
          <w:sz w:val="36"/>
          <w:highlight w:val="none"/>
        </w:rPr>
      </w:pPr>
    </w:p>
    <w:p w14:paraId="5C547A8F">
      <w:pPr>
        <w:spacing w:line="500" w:lineRule="exact"/>
        <w:ind w:firstLine="1080"/>
        <w:rPr>
          <w:color w:val="auto"/>
          <w:sz w:val="36"/>
          <w:highlight w:val="none"/>
        </w:rPr>
      </w:pPr>
    </w:p>
    <w:p w14:paraId="5C410823">
      <w:pPr>
        <w:spacing w:line="500" w:lineRule="exact"/>
        <w:ind w:firstLine="1080"/>
        <w:rPr>
          <w:color w:val="auto"/>
          <w:sz w:val="36"/>
          <w:highlight w:val="none"/>
        </w:rPr>
      </w:pPr>
    </w:p>
    <w:p w14:paraId="20C4C817">
      <w:pPr>
        <w:spacing w:line="500" w:lineRule="exact"/>
        <w:ind w:firstLine="1080"/>
        <w:rPr>
          <w:color w:val="auto"/>
          <w:sz w:val="36"/>
          <w:highlight w:val="none"/>
        </w:rPr>
      </w:pPr>
    </w:p>
    <w:p w14:paraId="648A0A53">
      <w:pPr>
        <w:spacing w:line="500" w:lineRule="exact"/>
        <w:ind w:firstLine="1080"/>
        <w:rPr>
          <w:color w:val="auto"/>
          <w:sz w:val="36"/>
          <w:highlight w:val="none"/>
        </w:rPr>
      </w:pPr>
    </w:p>
    <w:p w14:paraId="087763F3">
      <w:pPr>
        <w:spacing w:line="500" w:lineRule="exact"/>
        <w:ind w:firstLine="1080"/>
        <w:rPr>
          <w:color w:val="auto"/>
          <w:sz w:val="36"/>
          <w:highlight w:val="none"/>
        </w:rPr>
      </w:pPr>
      <w:r>
        <w:rPr>
          <w:color w:val="auto"/>
          <w:sz w:val="36"/>
          <w:highlight w:val="none"/>
        </w:rPr>
        <w:t>磋商</w:t>
      </w:r>
      <w:r>
        <w:rPr>
          <w:rFonts w:hint="eastAsia"/>
          <w:color w:val="auto"/>
          <w:sz w:val="36"/>
          <w:highlight w:val="none"/>
        </w:rPr>
        <w:t>供应商</w:t>
      </w:r>
      <w:r>
        <w:rPr>
          <w:color w:val="auto"/>
          <w:sz w:val="36"/>
          <w:highlight w:val="none"/>
        </w:rPr>
        <w:t xml:space="preserve">： </w:t>
      </w:r>
    </w:p>
    <w:p w14:paraId="3DF49AE9">
      <w:pPr>
        <w:spacing w:line="500" w:lineRule="exact"/>
        <w:ind w:firstLine="1080"/>
        <w:rPr>
          <w:color w:val="auto"/>
          <w:sz w:val="36"/>
          <w:highlight w:val="none"/>
        </w:rPr>
      </w:pPr>
      <w:r>
        <w:rPr>
          <w:color w:val="auto"/>
          <w:sz w:val="36"/>
          <w:highlight w:val="none"/>
        </w:rPr>
        <w:t>法定代表人：</w:t>
      </w:r>
    </w:p>
    <w:p w14:paraId="0ED6F160">
      <w:pPr>
        <w:spacing w:line="500" w:lineRule="exact"/>
        <w:ind w:firstLine="1080"/>
        <w:rPr>
          <w:color w:val="auto"/>
          <w:sz w:val="36"/>
          <w:highlight w:val="none"/>
        </w:rPr>
      </w:pPr>
      <w:r>
        <w:rPr>
          <w:color w:val="auto"/>
          <w:sz w:val="36"/>
          <w:highlight w:val="none"/>
        </w:rPr>
        <w:t xml:space="preserve">委托代理人：              </w:t>
      </w:r>
    </w:p>
    <w:p w14:paraId="7390A3D4">
      <w:pPr>
        <w:spacing w:line="500" w:lineRule="exact"/>
        <w:rPr>
          <w:color w:val="auto"/>
          <w:sz w:val="36"/>
          <w:highlight w:val="none"/>
        </w:rPr>
      </w:pPr>
      <w:r>
        <w:rPr>
          <w:color w:val="auto"/>
          <w:sz w:val="36"/>
          <w:highlight w:val="none"/>
        </w:rPr>
        <w:t xml:space="preserve">  日      期：</w:t>
      </w:r>
    </w:p>
    <w:p w14:paraId="0FCF97ED">
      <w:pPr>
        <w:spacing w:line="500" w:lineRule="exact"/>
        <w:rPr>
          <w:color w:val="auto"/>
          <w:sz w:val="36"/>
          <w:highlight w:val="none"/>
        </w:rPr>
      </w:pPr>
    </w:p>
    <w:p w14:paraId="625D1BB1">
      <w:pPr>
        <w:pStyle w:val="194"/>
        <w:spacing w:line="360" w:lineRule="auto"/>
        <w:jc w:val="center"/>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 xml:space="preserve"> </w:t>
      </w:r>
    </w:p>
    <w:p w14:paraId="58EF31C1">
      <w:pPr>
        <w:pStyle w:val="194"/>
        <w:spacing w:line="360" w:lineRule="auto"/>
        <w:jc w:val="center"/>
        <w:rPr>
          <w:rFonts w:hint="default" w:ascii="宋体" w:hAnsi="宋体" w:eastAsia="宋体" w:cs="宋体"/>
          <w:b/>
          <w:bCs/>
          <w:color w:val="auto"/>
          <w:sz w:val="24"/>
          <w:szCs w:val="24"/>
          <w:highlight w:val="none"/>
        </w:rPr>
      </w:pPr>
      <w:r>
        <w:rPr>
          <w:rFonts w:ascii="宋体" w:hAnsi="宋体" w:eastAsia="宋体" w:cs="宋体"/>
          <w:b/>
          <w:bCs/>
          <w:color w:val="auto"/>
          <w:sz w:val="28"/>
          <w:szCs w:val="28"/>
          <w:highlight w:val="none"/>
          <w:lang w:val="zh-TW" w:eastAsia="zh-TW"/>
        </w:rPr>
        <w:t>目  录</w:t>
      </w:r>
    </w:p>
    <w:p w14:paraId="69C45EBC">
      <w:pPr>
        <w:pStyle w:val="194"/>
        <w:spacing w:line="480" w:lineRule="exact"/>
        <w:rPr>
          <w:rFonts w:hint="default" w:ascii="宋体" w:hAnsi="宋体" w:eastAsia="宋体" w:cs="宋体"/>
          <w:i w:val="0"/>
          <w:iCs w:val="0"/>
          <w:color w:val="auto"/>
          <w:highlight w:val="none"/>
          <w:u w:val="none"/>
        </w:rPr>
      </w:pPr>
      <w:r>
        <w:rPr>
          <w:rFonts w:ascii="宋体" w:hAnsi="宋体" w:eastAsia="宋体" w:cs="宋体"/>
          <w:b/>
          <w:bCs/>
          <w:i w:val="0"/>
          <w:iCs w:val="0"/>
          <w:color w:val="auto"/>
          <w:highlight w:val="none"/>
          <w:u w:val="none"/>
          <w:lang w:val="zh-TW" w:eastAsia="zh-TW"/>
        </w:rPr>
        <w:t xml:space="preserve">第一部分  报价文件 </w:t>
      </w:r>
    </w:p>
    <w:p w14:paraId="4B66270F">
      <w:pPr>
        <w:pStyle w:val="194"/>
        <w:spacing w:line="480" w:lineRule="exact"/>
        <w:rPr>
          <w:rFonts w:hint="default" w:ascii="宋体" w:hAnsi="宋体" w:eastAsia="宋体" w:cs="宋体"/>
          <w:i w:val="0"/>
          <w:iCs w:val="0"/>
          <w:color w:val="auto"/>
          <w:highlight w:val="none"/>
          <w:u w:val="none"/>
        </w:rPr>
      </w:pPr>
      <w:r>
        <w:rPr>
          <w:rFonts w:ascii="宋体" w:hAnsi="宋体" w:eastAsia="宋体" w:cs="宋体"/>
          <w:i w:val="0"/>
          <w:iCs w:val="0"/>
          <w:color w:val="auto"/>
          <w:highlight w:val="none"/>
          <w:u w:val="none"/>
          <w:lang w:val="zh-TW" w:eastAsia="zh-TW"/>
        </w:rPr>
        <w:t>（一）</w:t>
      </w:r>
      <w:r>
        <w:rPr>
          <w:rFonts w:ascii="宋体" w:hAnsi="宋体" w:eastAsia="宋体" w:cs="宋体"/>
          <w:i w:val="0"/>
          <w:iCs w:val="0"/>
          <w:color w:val="auto"/>
          <w:highlight w:val="none"/>
          <w:u w:val="none"/>
        </w:rPr>
        <w:t>响应</w:t>
      </w:r>
      <w:r>
        <w:rPr>
          <w:rFonts w:ascii="宋体" w:hAnsi="宋体" w:eastAsia="宋体" w:cs="宋体"/>
          <w:i w:val="0"/>
          <w:iCs w:val="0"/>
          <w:color w:val="auto"/>
          <w:highlight w:val="none"/>
          <w:u w:val="none"/>
          <w:lang w:val="zh-TW"/>
        </w:rPr>
        <w:t>函</w:t>
      </w:r>
    </w:p>
    <w:p w14:paraId="4D5CFA17">
      <w:pPr>
        <w:pStyle w:val="194"/>
        <w:spacing w:line="480" w:lineRule="exact"/>
        <w:rPr>
          <w:rFonts w:hint="default" w:ascii="宋体" w:hAnsi="宋体" w:eastAsia="宋体" w:cs="宋体"/>
          <w:i w:val="0"/>
          <w:iCs w:val="0"/>
          <w:color w:val="auto"/>
          <w:highlight w:val="none"/>
          <w:u w:val="none"/>
        </w:rPr>
      </w:pPr>
      <w:r>
        <w:rPr>
          <w:rFonts w:ascii="宋体" w:hAnsi="宋体" w:eastAsia="宋体" w:cs="宋体"/>
          <w:i w:val="0"/>
          <w:iCs w:val="0"/>
          <w:color w:val="auto"/>
          <w:highlight w:val="none"/>
          <w:u w:val="none"/>
          <w:lang w:val="zh-TW" w:eastAsia="zh-TW"/>
        </w:rPr>
        <w:t>（二）报价表</w:t>
      </w:r>
    </w:p>
    <w:p w14:paraId="7F078FB3">
      <w:pPr>
        <w:pStyle w:val="194"/>
        <w:spacing w:line="480" w:lineRule="exact"/>
        <w:rPr>
          <w:rFonts w:hint="default" w:ascii="宋体" w:hAnsi="宋体" w:eastAsia="宋体" w:cs="宋体"/>
          <w:b/>
          <w:bCs/>
          <w:i w:val="0"/>
          <w:iCs w:val="0"/>
          <w:color w:val="auto"/>
          <w:highlight w:val="none"/>
          <w:u w:val="none"/>
        </w:rPr>
      </w:pPr>
      <w:r>
        <w:rPr>
          <w:rFonts w:ascii="宋体" w:hAnsi="宋体" w:eastAsia="宋体" w:cs="宋体"/>
          <w:b/>
          <w:bCs/>
          <w:i w:val="0"/>
          <w:iCs w:val="0"/>
          <w:color w:val="auto"/>
          <w:highlight w:val="none"/>
          <w:u w:val="none"/>
          <w:lang w:val="zh-TW" w:eastAsia="zh-TW"/>
        </w:rPr>
        <w:t xml:space="preserve">第二部分  技术文件 </w:t>
      </w:r>
    </w:p>
    <w:p w14:paraId="2EA0D0D2">
      <w:pPr>
        <w:pStyle w:val="194"/>
        <w:spacing w:line="480" w:lineRule="exact"/>
        <w:rPr>
          <w:rFonts w:hint="default" w:ascii="宋体" w:hAnsi="宋体" w:eastAsia="宋体" w:cs="宋体"/>
          <w:i w:val="0"/>
          <w:iCs w:val="0"/>
          <w:color w:val="auto"/>
          <w:highlight w:val="none"/>
          <w:u w:val="none"/>
        </w:rPr>
      </w:pPr>
      <w:r>
        <w:rPr>
          <w:rFonts w:ascii="宋体" w:hAnsi="宋体" w:eastAsia="宋体" w:cs="宋体"/>
          <w:i w:val="0"/>
          <w:iCs w:val="0"/>
          <w:color w:val="auto"/>
          <w:highlight w:val="none"/>
          <w:u w:val="none"/>
          <w:lang w:val="zh-TW" w:eastAsia="zh-TW"/>
        </w:rPr>
        <w:t>（一）偏离表</w:t>
      </w:r>
    </w:p>
    <w:p w14:paraId="20A71808">
      <w:pPr>
        <w:pStyle w:val="194"/>
        <w:spacing w:line="480" w:lineRule="exact"/>
        <w:rPr>
          <w:rFonts w:hint="default" w:ascii="宋体" w:hAnsi="宋体" w:eastAsia="宋体" w:cs="宋体"/>
          <w:i w:val="0"/>
          <w:iCs w:val="0"/>
          <w:color w:val="auto"/>
          <w:highlight w:val="none"/>
          <w:u w:val="none"/>
        </w:rPr>
      </w:pPr>
      <w:r>
        <w:rPr>
          <w:rFonts w:ascii="宋体" w:hAnsi="宋体" w:eastAsia="宋体" w:cs="宋体"/>
          <w:i w:val="0"/>
          <w:iCs w:val="0"/>
          <w:color w:val="auto"/>
          <w:highlight w:val="none"/>
          <w:u w:val="none"/>
          <w:lang w:val="zh-TW" w:eastAsia="zh-TW"/>
        </w:rPr>
        <w:t>（二）投标人认为需要提供的其他材料</w:t>
      </w:r>
    </w:p>
    <w:p w14:paraId="67AF3AE0">
      <w:pPr>
        <w:pStyle w:val="194"/>
        <w:spacing w:line="480" w:lineRule="exact"/>
        <w:rPr>
          <w:rFonts w:hint="default" w:ascii="宋体" w:hAnsi="宋体" w:eastAsia="宋体" w:cs="宋体"/>
          <w:b/>
          <w:bCs/>
          <w:i w:val="0"/>
          <w:iCs w:val="0"/>
          <w:color w:val="auto"/>
          <w:highlight w:val="none"/>
          <w:u w:val="none"/>
        </w:rPr>
      </w:pPr>
      <w:r>
        <w:rPr>
          <w:rFonts w:ascii="宋体" w:hAnsi="宋体" w:eastAsia="宋体" w:cs="宋体"/>
          <w:b/>
          <w:bCs/>
          <w:i w:val="0"/>
          <w:iCs w:val="0"/>
          <w:color w:val="auto"/>
          <w:highlight w:val="none"/>
          <w:u w:val="none"/>
          <w:lang w:val="zh-TW" w:eastAsia="zh-TW"/>
        </w:rPr>
        <w:t>第三部分  商务文件</w:t>
      </w:r>
    </w:p>
    <w:p w14:paraId="1F83C538">
      <w:pPr>
        <w:pStyle w:val="194"/>
        <w:spacing w:line="480" w:lineRule="exact"/>
        <w:rPr>
          <w:rFonts w:hint="default" w:ascii="宋体" w:hAnsi="宋体" w:eastAsia="宋体" w:cs="宋体"/>
          <w:i w:val="0"/>
          <w:iCs w:val="0"/>
          <w:color w:val="auto"/>
          <w:highlight w:val="none"/>
          <w:u w:val="none"/>
        </w:rPr>
      </w:pPr>
      <w:r>
        <w:rPr>
          <w:rFonts w:ascii="宋体" w:hAnsi="宋体" w:eastAsia="宋体" w:cs="宋体"/>
          <w:i w:val="0"/>
          <w:iCs w:val="0"/>
          <w:color w:val="auto"/>
          <w:highlight w:val="none"/>
          <w:u w:val="none"/>
          <w:lang w:val="zh-TW" w:eastAsia="zh-TW"/>
        </w:rPr>
        <w:t>（一）投标人基本情况表</w:t>
      </w:r>
    </w:p>
    <w:p w14:paraId="4EB30AB4">
      <w:pPr>
        <w:pStyle w:val="194"/>
        <w:spacing w:line="480" w:lineRule="exact"/>
        <w:rPr>
          <w:rFonts w:hint="default" w:ascii="宋体" w:hAnsi="宋体" w:eastAsia="宋体" w:cs="宋体"/>
          <w:i w:val="0"/>
          <w:iCs w:val="0"/>
          <w:color w:val="auto"/>
          <w:highlight w:val="none"/>
          <w:u w:val="none"/>
        </w:rPr>
      </w:pPr>
      <w:r>
        <w:rPr>
          <w:rFonts w:ascii="宋体" w:hAnsi="宋体" w:eastAsia="宋体" w:cs="宋体"/>
          <w:i w:val="0"/>
          <w:iCs w:val="0"/>
          <w:color w:val="auto"/>
          <w:highlight w:val="none"/>
          <w:u w:val="none"/>
          <w:lang w:val="zh-TW" w:eastAsia="zh-TW"/>
        </w:rPr>
        <w:t>（二）资格审查所需资料</w:t>
      </w:r>
    </w:p>
    <w:p w14:paraId="313F4B1E">
      <w:pPr>
        <w:pStyle w:val="194"/>
        <w:spacing w:line="480" w:lineRule="exact"/>
        <w:rPr>
          <w:rFonts w:hint="default" w:ascii="宋体" w:hAnsi="宋体" w:eastAsia="宋体" w:cs="宋体"/>
          <w:i w:val="0"/>
          <w:iCs w:val="0"/>
          <w:color w:val="auto"/>
          <w:highlight w:val="none"/>
          <w:u w:val="none"/>
        </w:rPr>
      </w:pPr>
      <w:r>
        <w:rPr>
          <w:rFonts w:ascii="宋体" w:hAnsi="宋体" w:eastAsia="宋体" w:cs="宋体"/>
          <w:i w:val="0"/>
          <w:iCs w:val="0"/>
          <w:color w:val="auto"/>
          <w:highlight w:val="none"/>
          <w:u w:val="none"/>
          <w:lang w:val="zh-TW" w:eastAsia="zh-TW"/>
        </w:rPr>
        <w:t>（三）项目拟投入技术人员一览表</w:t>
      </w:r>
    </w:p>
    <w:p w14:paraId="48285DDF">
      <w:pPr>
        <w:pStyle w:val="194"/>
        <w:spacing w:line="480" w:lineRule="exact"/>
        <w:rPr>
          <w:rFonts w:hint="default" w:ascii="宋体" w:hAnsi="宋体" w:eastAsia="宋体" w:cs="宋体"/>
          <w:i w:val="0"/>
          <w:iCs w:val="0"/>
          <w:color w:val="auto"/>
          <w:highlight w:val="none"/>
          <w:u w:val="none"/>
        </w:rPr>
      </w:pPr>
      <w:r>
        <w:rPr>
          <w:rFonts w:ascii="宋体" w:hAnsi="宋体" w:eastAsia="宋体" w:cs="宋体"/>
          <w:i w:val="0"/>
          <w:iCs w:val="0"/>
          <w:color w:val="auto"/>
          <w:highlight w:val="none"/>
          <w:u w:val="none"/>
          <w:lang w:val="zh-TW" w:eastAsia="zh-TW"/>
        </w:rPr>
        <w:t>（四）企业业绩</w:t>
      </w:r>
    </w:p>
    <w:p w14:paraId="1E37E285">
      <w:pPr>
        <w:pStyle w:val="194"/>
        <w:spacing w:line="480" w:lineRule="exact"/>
        <w:rPr>
          <w:rFonts w:hint="default" w:ascii="宋体" w:hAnsi="宋体" w:eastAsia="宋体" w:cs="宋体"/>
          <w:i w:val="0"/>
          <w:iCs w:val="0"/>
          <w:color w:val="auto"/>
          <w:highlight w:val="none"/>
          <w:u w:val="none"/>
        </w:rPr>
      </w:pPr>
      <w:r>
        <w:rPr>
          <w:rFonts w:ascii="宋体" w:hAnsi="宋体" w:eastAsia="宋体" w:cs="宋体"/>
          <w:i w:val="0"/>
          <w:iCs w:val="0"/>
          <w:color w:val="auto"/>
          <w:highlight w:val="none"/>
          <w:u w:val="none"/>
          <w:lang w:val="zh-TW" w:eastAsia="zh-TW"/>
        </w:rPr>
        <w:t>（五）投标人认为需要提供的其他材料（包含但不限于资格审查及打分项资料）</w:t>
      </w:r>
    </w:p>
    <w:p w14:paraId="1762FA60">
      <w:pPr>
        <w:rPr>
          <w:rFonts w:ascii="宋体" w:hAnsi="宋体" w:cs="宋体"/>
          <w:b/>
          <w:bCs/>
          <w:color w:val="auto"/>
          <w:sz w:val="30"/>
          <w:szCs w:val="30"/>
          <w:highlight w:val="none"/>
          <w:lang w:val="zh-TW" w:eastAsia="zh-TW"/>
        </w:rPr>
      </w:pPr>
      <w:r>
        <w:rPr>
          <w:rFonts w:ascii="宋体" w:hAnsi="宋体" w:cs="宋体"/>
          <w:b/>
          <w:bCs/>
          <w:color w:val="auto"/>
          <w:sz w:val="30"/>
          <w:szCs w:val="30"/>
          <w:highlight w:val="none"/>
          <w:lang w:val="zh-TW" w:eastAsia="zh-TW"/>
        </w:rPr>
        <w:br w:type="page" w:clear="all"/>
      </w:r>
    </w:p>
    <w:p w14:paraId="6E12851F">
      <w:pPr>
        <w:pStyle w:val="194"/>
        <w:spacing w:line="400" w:lineRule="exact"/>
        <w:ind w:firstLine="3012"/>
        <w:rPr>
          <w:rFonts w:hint="default" w:ascii="宋体" w:hAnsi="宋体" w:eastAsia="宋体" w:cs="宋体"/>
          <w:b/>
          <w:bCs/>
          <w:color w:val="auto"/>
          <w:sz w:val="30"/>
          <w:szCs w:val="30"/>
          <w:highlight w:val="none"/>
        </w:rPr>
      </w:pPr>
      <w:r>
        <w:rPr>
          <w:rFonts w:ascii="宋体" w:hAnsi="宋体" w:eastAsia="宋体" w:cs="宋体"/>
          <w:b/>
          <w:bCs/>
          <w:color w:val="auto"/>
          <w:sz w:val="30"/>
          <w:szCs w:val="30"/>
          <w:highlight w:val="none"/>
          <w:lang w:val="zh-TW" w:eastAsia="zh-TW"/>
        </w:rPr>
        <w:t>第一部分  报价文件</w:t>
      </w:r>
    </w:p>
    <w:p w14:paraId="2DA48954">
      <w:pPr>
        <w:pStyle w:val="194"/>
        <w:spacing w:line="400" w:lineRule="exact"/>
        <w:jc w:val="center"/>
        <w:rPr>
          <w:rFonts w:hint="default" w:ascii="宋体" w:hAnsi="宋体" w:eastAsia="宋体" w:cs="宋体"/>
          <w:b w:val="0"/>
          <w:bCs w:val="0"/>
          <w:i/>
          <w:iCs/>
          <w:color w:val="auto"/>
          <w:sz w:val="28"/>
          <w:szCs w:val="28"/>
          <w:highlight w:val="none"/>
          <w:u w:val="single"/>
        </w:rPr>
      </w:pPr>
      <w:r>
        <w:rPr>
          <w:rFonts w:ascii="宋体" w:hAnsi="宋体" w:eastAsia="宋体" w:cs="宋体"/>
          <w:b w:val="0"/>
          <w:bCs w:val="0"/>
          <w:i/>
          <w:iCs/>
          <w:color w:val="auto"/>
          <w:sz w:val="28"/>
          <w:szCs w:val="28"/>
          <w:highlight w:val="none"/>
          <w:u w:val="single"/>
          <w:lang w:val="zh-TW" w:eastAsia="zh-TW"/>
        </w:rPr>
        <w:t xml:space="preserve">（一） </w:t>
      </w:r>
      <w:r>
        <w:rPr>
          <w:rFonts w:ascii="宋体" w:hAnsi="宋体" w:eastAsia="宋体" w:cs="宋体"/>
          <w:b w:val="0"/>
          <w:bCs w:val="0"/>
          <w:i/>
          <w:iCs/>
          <w:color w:val="auto"/>
          <w:sz w:val="28"/>
          <w:szCs w:val="28"/>
          <w:highlight w:val="none"/>
          <w:u w:val="single"/>
        </w:rPr>
        <w:t>响应</w:t>
      </w:r>
      <w:r>
        <w:rPr>
          <w:rFonts w:ascii="宋体" w:hAnsi="宋体" w:eastAsia="宋体" w:cs="宋体"/>
          <w:b w:val="0"/>
          <w:bCs w:val="0"/>
          <w:i/>
          <w:iCs/>
          <w:color w:val="auto"/>
          <w:sz w:val="28"/>
          <w:szCs w:val="28"/>
          <w:highlight w:val="none"/>
          <w:u w:val="single"/>
          <w:lang w:val="zh-TW"/>
        </w:rPr>
        <w:t>函</w:t>
      </w:r>
      <w:r>
        <w:rPr>
          <w:rFonts w:ascii="宋体" w:hAnsi="宋体" w:eastAsia="宋体" w:cs="宋体"/>
          <w:b w:val="0"/>
          <w:bCs w:val="0"/>
          <w:i/>
          <w:iCs/>
          <w:color w:val="auto"/>
          <w:sz w:val="28"/>
          <w:szCs w:val="28"/>
          <w:highlight w:val="none"/>
          <w:u w:val="single"/>
          <w:lang w:val="zh-TW" w:eastAsia="zh-TW"/>
        </w:rPr>
        <w:t>（格式）</w:t>
      </w:r>
    </w:p>
    <w:p w14:paraId="7D40C52E">
      <w:pPr>
        <w:pStyle w:val="330"/>
        <w:tabs>
          <w:tab w:val="left" w:pos="360"/>
        </w:tabs>
        <w:spacing w:line="560" w:lineRule="exact"/>
        <w:ind w:firstLine="0"/>
        <w:jc w:val="left"/>
        <w:rPr>
          <w:color w:val="auto"/>
          <w:sz w:val="21"/>
          <w:szCs w:val="21"/>
          <w:highlight w:val="none"/>
        </w:rPr>
      </w:pPr>
      <w:r>
        <w:rPr>
          <w:rFonts w:hint="eastAsia"/>
          <w:color w:val="auto"/>
          <w:sz w:val="21"/>
          <w:szCs w:val="21"/>
          <w:highlight w:val="none"/>
        </w:rPr>
        <w:t>致：【采购单位】</w:t>
      </w:r>
    </w:p>
    <w:p w14:paraId="061CD0A3">
      <w:pPr>
        <w:pStyle w:val="330"/>
        <w:tabs>
          <w:tab w:val="left" w:pos="360"/>
        </w:tabs>
        <w:spacing w:line="240" w:lineRule="auto"/>
        <w:ind w:firstLine="411"/>
        <w:jc w:val="left"/>
        <w:rPr>
          <w:color w:val="auto"/>
          <w:sz w:val="21"/>
          <w:szCs w:val="21"/>
          <w:highlight w:val="none"/>
        </w:rPr>
      </w:pPr>
      <w:r>
        <w:rPr>
          <w:rFonts w:hint="eastAsia"/>
          <w:color w:val="auto"/>
          <w:sz w:val="21"/>
          <w:szCs w:val="21"/>
          <w:highlight w:val="none"/>
        </w:rPr>
        <w:t>根据贵方【</w:t>
      </w:r>
      <w:r>
        <w:rPr>
          <w:rFonts w:hint="eastAsia"/>
          <w:color w:val="auto"/>
          <w:sz w:val="21"/>
          <w:szCs w:val="21"/>
          <w:highlight w:val="none"/>
          <w:lang w:eastAsia="zh-CN"/>
        </w:rPr>
        <w:t>项目</w:t>
      </w:r>
      <w:r>
        <w:rPr>
          <w:rFonts w:hint="eastAsia"/>
          <w:color w:val="auto"/>
          <w:sz w:val="21"/>
          <w:szCs w:val="21"/>
          <w:highlight w:val="none"/>
        </w:rPr>
        <w:t>名称】（</w:t>
      </w:r>
      <w:r>
        <w:rPr>
          <w:rFonts w:hint="eastAsia"/>
          <w:color w:val="auto"/>
          <w:sz w:val="21"/>
          <w:szCs w:val="21"/>
          <w:highlight w:val="none"/>
          <w:lang w:eastAsia="zh-CN"/>
        </w:rPr>
        <w:t>项目</w:t>
      </w:r>
      <w:r>
        <w:rPr>
          <w:rFonts w:hint="eastAsia"/>
          <w:color w:val="auto"/>
          <w:sz w:val="21"/>
          <w:szCs w:val="21"/>
          <w:highlight w:val="none"/>
        </w:rPr>
        <w:t>编号：</w:t>
      </w:r>
      <w:r>
        <w:rPr>
          <w:color w:val="auto"/>
          <w:sz w:val="21"/>
          <w:szCs w:val="21"/>
          <w:highlight w:val="none"/>
        </w:rPr>
        <w:t>【</w:t>
      </w:r>
      <w:r>
        <w:rPr>
          <w:rFonts w:hint="eastAsia"/>
          <w:color w:val="auto"/>
          <w:sz w:val="21"/>
          <w:szCs w:val="21"/>
          <w:highlight w:val="none"/>
          <w:lang w:eastAsia="zh-CN"/>
        </w:rPr>
        <w:t>项目</w:t>
      </w:r>
      <w:r>
        <w:rPr>
          <w:color w:val="auto"/>
          <w:sz w:val="21"/>
          <w:szCs w:val="21"/>
          <w:highlight w:val="none"/>
        </w:rPr>
        <w:t>编号】</w:t>
      </w:r>
      <w:r>
        <w:rPr>
          <w:rFonts w:hint="eastAsia"/>
          <w:color w:val="auto"/>
          <w:sz w:val="21"/>
          <w:szCs w:val="21"/>
          <w:highlight w:val="none"/>
        </w:rPr>
        <w:t>）磋商文件，正式授权下述签字人_________ (姓名和职务)代表我方______________（供应商的名称），全权处理本次项目磋商采购的有关事宜。</w:t>
      </w:r>
    </w:p>
    <w:p w14:paraId="6812046F">
      <w:pPr>
        <w:pStyle w:val="425"/>
        <w:tabs>
          <w:tab w:val="left" w:pos="360"/>
        </w:tabs>
        <w:spacing w:line="240" w:lineRule="auto"/>
        <w:ind w:firstLine="482"/>
        <w:rPr>
          <w:rFonts w:ascii="宋体" w:hAnsi="宋体" w:cs="宋体"/>
          <w:color w:val="auto"/>
          <w:highlight w:val="none"/>
        </w:rPr>
      </w:pPr>
      <w:r>
        <w:rPr>
          <w:color w:val="auto"/>
          <w:sz w:val="21"/>
          <w:szCs w:val="21"/>
          <w:highlight w:val="none"/>
        </w:rPr>
        <w:t>据此函，__________（</w:t>
      </w:r>
      <w:r>
        <w:rPr>
          <w:rFonts w:hint="eastAsia"/>
          <w:color w:val="auto"/>
          <w:sz w:val="21"/>
          <w:szCs w:val="21"/>
          <w:highlight w:val="none"/>
        </w:rPr>
        <w:t>签字人</w:t>
      </w:r>
      <w:r>
        <w:rPr>
          <w:color w:val="auto"/>
          <w:sz w:val="21"/>
          <w:szCs w:val="21"/>
          <w:highlight w:val="none"/>
        </w:rPr>
        <w:t>）兹宣布同意如下：</w:t>
      </w:r>
    </w:p>
    <w:p w14:paraId="647009FB">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1.</w:t>
      </w:r>
      <w:r>
        <w:rPr>
          <w:rFonts w:ascii="宋体" w:hAnsi="宋体" w:eastAsia="宋体" w:cs="宋体"/>
          <w:color w:val="auto"/>
          <w:highlight w:val="none"/>
          <w:lang w:val="zh-TW" w:eastAsia="zh-TW"/>
        </w:rPr>
        <w:t>按</w:t>
      </w:r>
      <w:r>
        <w:rPr>
          <w:rFonts w:ascii="宋体" w:hAnsi="宋体" w:eastAsia="宋体" w:cs="宋体"/>
          <w:color w:val="auto"/>
          <w:highlight w:val="none"/>
        </w:rPr>
        <w:t>磋商文件</w:t>
      </w:r>
      <w:r>
        <w:rPr>
          <w:rFonts w:ascii="宋体" w:hAnsi="宋体" w:eastAsia="宋体" w:cs="宋体"/>
          <w:color w:val="auto"/>
          <w:highlight w:val="none"/>
          <w:lang w:val="zh-TW" w:eastAsia="zh-TW"/>
        </w:rPr>
        <w:t>项目需求提交</w:t>
      </w:r>
      <w:r>
        <w:rPr>
          <w:rFonts w:ascii="宋体" w:hAnsi="宋体" w:eastAsia="宋体" w:cs="宋体"/>
          <w:color w:val="auto"/>
          <w:highlight w:val="none"/>
        </w:rPr>
        <w:t>响应</w:t>
      </w:r>
      <w:r>
        <w:rPr>
          <w:rFonts w:ascii="宋体" w:hAnsi="宋体" w:eastAsia="宋体" w:cs="宋体"/>
          <w:color w:val="auto"/>
          <w:highlight w:val="none"/>
          <w:lang w:val="zh-TW" w:eastAsia="zh-TW"/>
        </w:rPr>
        <w:t>报价，报价、交货期等详见开标一览表。</w:t>
      </w:r>
    </w:p>
    <w:p w14:paraId="6E16462E">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2.</w:t>
      </w:r>
      <w:r>
        <w:rPr>
          <w:rFonts w:ascii="宋体" w:hAnsi="宋体" w:eastAsia="宋体" w:cs="宋体"/>
          <w:color w:val="auto"/>
          <w:highlight w:val="none"/>
          <w:lang w:val="zh-TW" w:eastAsia="zh-TW"/>
        </w:rPr>
        <w:t>我方同意在本</w:t>
      </w:r>
      <w:r>
        <w:rPr>
          <w:rFonts w:hint="eastAsia" w:ascii="宋体" w:hAnsi="宋体" w:eastAsia="宋体" w:cs="宋体"/>
          <w:color w:val="auto"/>
          <w:highlight w:val="none"/>
          <w:lang w:val="zh-TW" w:eastAsia="zh-CN"/>
        </w:rPr>
        <w:t>项目</w:t>
      </w:r>
      <w:r>
        <w:rPr>
          <w:rFonts w:ascii="宋体" w:hAnsi="宋体" w:eastAsia="宋体" w:cs="宋体"/>
          <w:color w:val="auto"/>
          <w:highlight w:val="none"/>
        </w:rPr>
        <w:t>磋商文件</w:t>
      </w:r>
      <w:r>
        <w:rPr>
          <w:rFonts w:ascii="宋体" w:hAnsi="宋体" w:eastAsia="宋体" w:cs="宋体"/>
          <w:color w:val="auto"/>
          <w:highlight w:val="none"/>
          <w:lang w:val="zh-TW" w:eastAsia="zh-TW"/>
        </w:rPr>
        <w:t>中规定的</w:t>
      </w:r>
      <w:r>
        <w:rPr>
          <w:color w:val="auto"/>
          <w:highlight w:val="none"/>
        </w:rPr>
        <w:t>响应文件</w:t>
      </w:r>
      <w:r>
        <w:rPr>
          <w:rFonts w:ascii="宋体" w:hAnsi="宋体" w:eastAsia="宋体" w:cs="宋体"/>
          <w:color w:val="auto"/>
          <w:highlight w:val="none"/>
          <w:lang w:val="zh-TW" w:eastAsia="zh-TW"/>
        </w:rPr>
        <w:t>递交截止之日起</w:t>
      </w:r>
      <w:r>
        <w:rPr>
          <w:rFonts w:ascii="宋体" w:hAnsi="宋体" w:eastAsia="宋体" w:cs="宋体"/>
          <w:color w:val="auto"/>
          <w:highlight w:val="none"/>
        </w:rPr>
        <w:t>60</w:t>
      </w:r>
      <w:r>
        <w:rPr>
          <w:rFonts w:ascii="宋体" w:hAnsi="宋体" w:eastAsia="宋体" w:cs="宋体"/>
          <w:color w:val="auto"/>
          <w:highlight w:val="none"/>
          <w:lang w:val="zh-TW" w:eastAsia="zh-TW"/>
        </w:rPr>
        <w:t>天内遵守本</w:t>
      </w:r>
      <w:r>
        <w:rPr>
          <w:color w:val="auto"/>
          <w:highlight w:val="none"/>
        </w:rPr>
        <w:t>响应文</w:t>
      </w:r>
      <w:r>
        <w:rPr>
          <w:rFonts w:ascii="宋体" w:hAnsi="宋体" w:eastAsia="宋体" w:cs="宋体"/>
          <w:color w:val="auto"/>
          <w:highlight w:val="none"/>
          <w:lang w:val="zh-TW" w:eastAsia="zh-TW"/>
        </w:rPr>
        <w:t>件中的承诺且在此期限期满之前均具有约束力。</w:t>
      </w:r>
    </w:p>
    <w:p w14:paraId="48D0DD48">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3.</w:t>
      </w:r>
      <w:r>
        <w:rPr>
          <w:rFonts w:ascii="宋体" w:hAnsi="宋体" w:eastAsia="宋体" w:cs="宋体"/>
          <w:color w:val="auto"/>
          <w:highlight w:val="none"/>
          <w:lang w:val="zh-TW" w:eastAsia="zh-TW"/>
        </w:rPr>
        <w:t xml:space="preserve">我方承诺已经具备《中华人民共和国政府采购法》中规定的参加政府采购活动的供应商应当具备的条件： </w:t>
      </w:r>
    </w:p>
    <w:p w14:paraId="5F1701B9">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(1)</w:t>
      </w:r>
      <w:r>
        <w:rPr>
          <w:rFonts w:ascii="宋体" w:hAnsi="宋体" w:eastAsia="宋体" w:cs="宋体"/>
          <w:color w:val="auto"/>
          <w:highlight w:val="none"/>
          <w:lang w:val="zh-TW" w:eastAsia="zh-TW"/>
        </w:rPr>
        <w:t>具有独立承担民事责任的能力；</w:t>
      </w:r>
    </w:p>
    <w:p w14:paraId="1C25A928">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(2)</w:t>
      </w:r>
      <w:r>
        <w:rPr>
          <w:rFonts w:ascii="宋体" w:hAnsi="宋体" w:eastAsia="宋体" w:cs="宋体"/>
          <w:color w:val="auto"/>
          <w:highlight w:val="none"/>
          <w:lang w:val="zh-TW" w:eastAsia="zh-TW"/>
        </w:rPr>
        <w:t>具有良好的商业信誉和健全的财务会计制度；</w:t>
      </w:r>
    </w:p>
    <w:p w14:paraId="7324AFB7">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(3)</w:t>
      </w:r>
      <w:r>
        <w:rPr>
          <w:rFonts w:ascii="宋体" w:hAnsi="宋体" w:eastAsia="宋体" w:cs="宋体"/>
          <w:color w:val="auto"/>
          <w:highlight w:val="none"/>
          <w:lang w:val="zh-TW" w:eastAsia="zh-TW"/>
        </w:rPr>
        <w:t>具有履行合同所必需的设备和专业技术能力；</w:t>
      </w:r>
    </w:p>
    <w:p w14:paraId="44E2F9A6">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(4)</w:t>
      </w:r>
      <w:r>
        <w:rPr>
          <w:rFonts w:ascii="宋体" w:hAnsi="宋体" w:eastAsia="宋体" w:cs="宋体"/>
          <w:color w:val="auto"/>
          <w:highlight w:val="none"/>
          <w:lang w:val="zh-TW" w:eastAsia="zh-TW"/>
        </w:rPr>
        <w:t>有依法缴纳税收和社会保障资金的良好记录；</w:t>
      </w:r>
    </w:p>
    <w:p w14:paraId="7D3A6069">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(5)</w:t>
      </w:r>
      <w:r>
        <w:rPr>
          <w:rFonts w:ascii="宋体" w:hAnsi="宋体" w:eastAsia="宋体" w:cs="宋体"/>
          <w:color w:val="auto"/>
          <w:highlight w:val="none"/>
          <w:lang w:val="zh-TW" w:eastAsia="zh-TW"/>
        </w:rPr>
        <w:t>参加此项采购活动前三年内，在经营活动中没有重大违法记录。</w:t>
      </w:r>
    </w:p>
    <w:p w14:paraId="21A59C12">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4.</w:t>
      </w:r>
      <w:r>
        <w:rPr>
          <w:rFonts w:ascii="宋体" w:hAnsi="宋体" w:eastAsia="宋体" w:cs="宋体"/>
          <w:color w:val="auto"/>
          <w:highlight w:val="none"/>
          <w:lang w:val="zh-TW" w:eastAsia="zh-TW"/>
        </w:rPr>
        <w:t>我方根据采购文件的规定，承担完成合同的责任和义务。</w:t>
      </w:r>
    </w:p>
    <w:p w14:paraId="02A8885E">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5.</w:t>
      </w:r>
      <w:r>
        <w:rPr>
          <w:rFonts w:ascii="宋体" w:hAnsi="宋体" w:eastAsia="宋体" w:cs="宋体"/>
          <w:color w:val="auto"/>
          <w:highlight w:val="none"/>
          <w:lang w:val="zh-TW" w:eastAsia="zh-TW"/>
        </w:rPr>
        <w:t>我方已详细审核采购文件，我方知道必须放弃提出含糊不清或误解问题的权利。</w:t>
      </w:r>
    </w:p>
    <w:p w14:paraId="6BF51166">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6.</w:t>
      </w:r>
      <w:r>
        <w:rPr>
          <w:rFonts w:ascii="宋体" w:hAnsi="宋体" w:eastAsia="宋体" w:cs="宋体"/>
          <w:color w:val="auto"/>
          <w:highlight w:val="none"/>
          <w:lang w:val="zh-TW" w:eastAsia="zh-TW"/>
        </w:rPr>
        <w:t>如果在</w:t>
      </w:r>
      <w:r>
        <w:rPr>
          <w:rFonts w:ascii="宋体" w:hAnsi="宋体" w:eastAsia="宋体" w:cs="宋体"/>
          <w:color w:val="auto"/>
          <w:highlight w:val="none"/>
        </w:rPr>
        <w:t>投标</w:t>
      </w:r>
      <w:r>
        <w:rPr>
          <w:rFonts w:ascii="宋体" w:hAnsi="宋体" w:eastAsia="宋体" w:cs="宋体"/>
          <w:color w:val="auto"/>
          <w:highlight w:val="none"/>
          <w:lang w:val="zh-TW" w:eastAsia="zh-TW"/>
        </w:rPr>
        <w:t>文件有效期内撤回或者有其他违约行为，我方的保证金可被贵方全部或部分没收。</w:t>
      </w:r>
    </w:p>
    <w:p w14:paraId="17F81D56">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7.</w:t>
      </w:r>
      <w:r>
        <w:rPr>
          <w:rFonts w:ascii="宋体" w:hAnsi="宋体" w:eastAsia="宋体" w:cs="宋体"/>
          <w:color w:val="auto"/>
          <w:highlight w:val="none"/>
          <w:lang w:val="zh-TW" w:eastAsia="zh-TW"/>
        </w:rPr>
        <w:t>同意应贵方要求提供与本次采购活动有关的任何数据或资料。</w:t>
      </w:r>
    </w:p>
    <w:p w14:paraId="31511C2C">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8.</w:t>
      </w:r>
      <w:r>
        <w:rPr>
          <w:rFonts w:ascii="宋体" w:hAnsi="宋体" w:eastAsia="宋体" w:cs="宋体"/>
          <w:color w:val="auto"/>
          <w:highlight w:val="none"/>
          <w:lang w:val="zh-TW" w:eastAsia="zh-TW"/>
        </w:rPr>
        <w:t>我方完全理解，最低报价不是中标（成交）的唯一条件。</w:t>
      </w:r>
    </w:p>
    <w:p w14:paraId="15DD0CC2">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9.</w:t>
      </w:r>
      <w:r>
        <w:rPr>
          <w:rFonts w:ascii="宋体" w:hAnsi="宋体" w:eastAsia="宋体" w:cs="宋体"/>
          <w:color w:val="auto"/>
          <w:highlight w:val="none"/>
          <w:lang w:val="zh-TW" w:eastAsia="zh-TW"/>
        </w:rPr>
        <w:t>若贵方需要，我方愿意提供我方作出的一切承诺的证明材料。</w:t>
      </w:r>
    </w:p>
    <w:p w14:paraId="33704C93">
      <w:pPr>
        <w:pStyle w:val="194"/>
        <w:spacing w:line="360" w:lineRule="exact"/>
        <w:ind w:firstLine="420"/>
        <w:jc w:val="left"/>
        <w:rPr>
          <w:rFonts w:hint="default" w:ascii="宋体" w:hAnsi="宋体" w:eastAsia="宋体" w:cs="宋体"/>
          <w:color w:val="auto"/>
          <w:highlight w:val="none"/>
        </w:rPr>
      </w:pPr>
      <w:r>
        <w:rPr>
          <w:rFonts w:ascii="宋体" w:hAnsi="宋体" w:eastAsia="宋体" w:cs="宋体"/>
          <w:color w:val="auto"/>
          <w:highlight w:val="none"/>
        </w:rPr>
        <w:t>10.</w:t>
      </w:r>
      <w:r>
        <w:rPr>
          <w:rFonts w:ascii="宋体" w:hAnsi="宋体" w:eastAsia="宋体" w:cs="宋体"/>
          <w:color w:val="auto"/>
          <w:highlight w:val="none"/>
          <w:lang w:val="zh-TW" w:eastAsia="zh-TW"/>
        </w:rPr>
        <w:t>我方将严格遵守《中华人民共和国政府采购法》第七十七条规定，供应商有下列情形之一的，处以采购金额</w:t>
      </w:r>
      <w:r>
        <w:rPr>
          <w:rFonts w:ascii="宋体" w:hAnsi="宋体" w:eastAsia="宋体" w:cs="宋体"/>
          <w:color w:val="auto"/>
          <w:highlight w:val="none"/>
        </w:rPr>
        <w:t>5‰</w:t>
      </w:r>
      <w:r>
        <w:rPr>
          <w:rFonts w:ascii="宋体" w:hAnsi="宋体" w:eastAsia="宋体" w:cs="宋体"/>
          <w:color w:val="auto"/>
          <w:highlight w:val="none"/>
          <w:lang w:val="zh-TW" w:eastAsia="zh-TW"/>
        </w:rPr>
        <w:t>以上</w:t>
      </w:r>
      <w:r>
        <w:rPr>
          <w:rFonts w:ascii="宋体" w:hAnsi="宋体" w:eastAsia="宋体" w:cs="宋体"/>
          <w:color w:val="auto"/>
          <w:highlight w:val="none"/>
        </w:rPr>
        <w:t>10‰</w:t>
      </w:r>
      <w:r>
        <w:rPr>
          <w:rFonts w:ascii="宋体" w:hAnsi="宋体" w:eastAsia="宋体" w:cs="宋体"/>
          <w:color w:val="auto"/>
          <w:highlight w:val="none"/>
          <w:lang w:val="zh-TW" w:eastAsia="zh-TW"/>
        </w:rPr>
        <w:t>以下的罚款，列入不良行为记录名单，在一至三年内禁止参加政府采购活动，有违法所得的，并处没收违法所得，情节严重的，由工商行政管理机关吊销营业执照；构成犯罪的，依法追究刑事责任：</w:t>
      </w:r>
    </w:p>
    <w:p w14:paraId="1BC792E5">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(1)</w:t>
      </w:r>
      <w:r>
        <w:rPr>
          <w:rFonts w:ascii="宋体" w:hAnsi="宋体" w:eastAsia="宋体" w:cs="宋体"/>
          <w:color w:val="auto"/>
          <w:highlight w:val="none"/>
          <w:lang w:val="zh-TW" w:eastAsia="zh-TW"/>
        </w:rPr>
        <w:t>提供虚假材料谋取中标、成交的；</w:t>
      </w:r>
    </w:p>
    <w:p w14:paraId="01956C05">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(2)</w:t>
      </w:r>
      <w:r>
        <w:rPr>
          <w:rFonts w:ascii="宋体" w:hAnsi="宋体" w:eastAsia="宋体" w:cs="宋体"/>
          <w:color w:val="auto"/>
          <w:highlight w:val="none"/>
          <w:lang w:val="zh-TW" w:eastAsia="zh-TW"/>
        </w:rPr>
        <w:t>采取不正当手段诋毁、排挤其他供应商的；</w:t>
      </w:r>
    </w:p>
    <w:p w14:paraId="5A9BA9E4">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(3)</w:t>
      </w:r>
      <w:r>
        <w:rPr>
          <w:rFonts w:ascii="宋体" w:hAnsi="宋体" w:eastAsia="宋体" w:cs="宋体"/>
          <w:color w:val="auto"/>
          <w:highlight w:val="none"/>
          <w:lang w:val="zh-TW" w:eastAsia="zh-TW"/>
        </w:rPr>
        <w:t>与采购人、其他供应商或者采购代理机构恶意串通的；</w:t>
      </w:r>
    </w:p>
    <w:p w14:paraId="41A53885">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(4)</w:t>
      </w:r>
      <w:r>
        <w:rPr>
          <w:rFonts w:ascii="宋体" w:hAnsi="宋体" w:eastAsia="宋体" w:cs="宋体"/>
          <w:color w:val="auto"/>
          <w:highlight w:val="none"/>
          <w:lang w:val="zh-TW" w:eastAsia="zh-TW"/>
        </w:rPr>
        <w:t>向采购人、采购代理机构行贿或者提供其他不正当利益的；</w:t>
      </w:r>
    </w:p>
    <w:p w14:paraId="54EE4ACE">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(5)</w:t>
      </w:r>
      <w:r>
        <w:rPr>
          <w:rFonts w:ascii="宋体" w:hAnsi="宋体" w:eastAsia="宋体" w:cs="宋体"/>
          <w:color w:val="auto"/>
          <w:highlight w:val="none"/>
          <w:lang w:val="zh-TW" w:eastAsia="zh-TW"/>
        </w:rPr>
        <w:t>在招标采购过程中与采购人进行协商谈判的；</w:t>
      </w:r>
    </w:p>
    <w:p w14:paraId="496E99E5">
      <w:pPr>
        <w:pStyle w:val="194"/>
        <w:spacing w:line="360" w:lineRule="exact"/>
        <w:ind w:firstLine="420"/>
        <w:rPr>
          <w:rFonts w:hint="default" w:ascii="宋体" w:hAnsi="宋体" w:eastAsia="宋体" w:cs="宋体"/>
          <w:color w:val="auto"/>
          <w:highlight w:val="none"/>
        </w:rPr>
      </w:pPr>
      <w:r>
        <w:rPr>
          <w:rFonts w:ascii="宋体" w:hAnsi="宋体" w:eastAsia="宋体" w:cs="宋体"/>
          <w:color w:val="auto"/>
          <w:highlight w:val="none"/>
        </w:rPr>
        <w:t>(6)</w:t>
      </w:r>
      <w:r>
        <w:rPr>
          <w:rFonts w:ascii="宋体" w:hAnsi="宋体" w:eastAsia="宋体" w:cs="宋体"/>
          <w:color w:val="auto"/>
          <w:highlight w:val="none"/>
          <w:lang w:val="zh-TW" w:eastAsia="zh-TW"/>
        </w:rPr>
        <w:t>拒绝有关部门监督检查或提供虚假情况的。</w:t>
      </w:r>
    </w:p>
    <w:p w14:paraId="161038AF">
      <w:pPr>
        <w:pStyle w:val="194"/>
        <w:spacing w:line="34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 xml:space="preserve">法定代表人或其委托代理人签字（或盖章）：　 </w:t>
      </w:r>
    </w:p>
    <w:p w14:paraId="0171DEEA">
      <w:pPr>
        <w:pStyle w:val="194"/>
        <w:spacing w:line="34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供应商公章：</w:t>
      </w:r>
    </w:p>
    <w:p w14:paraId="5BB54B31">
      <w:pPr>
        <w:pStyle w:val="194"/>
        <w:spacing w:line="34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 xml:space="preserve">日期： </w:t>
      </w:r>
    </w:p>
    <w:p w14:paraId="770D4472">
      <w:pPr>
        <w:pStyle w:val="194"/>
        <w:spacing w:line="480" w:lineRule="exact"/>
        <w:jc w:val="center"/>
        <w:rPr>
          <w:rFonts w:hint="default" w:ascii="宋体" w:hAnsi="宋体" w:eastAsia="宋体" w:cs="宋体"/>
          <w:color w:val="auto"/>
          <w:highlight w:val="none"/>
          <w:lang w:val="zh-TW" w:eastAsia="zh-TW"/>
        </w:rPr>
      </w:pPr>
      <w:r>
        <w:rPr>
          <w:rFonts w:ascii="宋体" w:hAnsi="宋体" w:eastAsia="宋体" w:cs="宋体"/>
          <w:color w:val="auto"/>
          <w:spacing w:val="-6"/>
          <w:highlight w:val="none"/>
          <w:lang w:val="zh-TW" w:eastAsia="zh-TW"/>
        </w:rPr>
        <w:t>注：</w:t>
      </w:r>
      <w:r>
        <w:rPr>
          <w:rFonts w:ascii="宋体" w:hAnsi="宋体" w:eastAsia="宋体" w:cs="宋体"/>
          <w:b/>
          <w:bCs/>
          <w:color w:val="auto"/>
          <w:spacing w:val="-6"/>
          <w:highlight w:val="none"/>
          <w:lang w:val="zh-TW" w:eastAsia="zh-TW"/>
        </w:rPr>
        <w:t>未按照本</w:t>
      </w:r>
      <w:r>
        <w:rPr>
          <w:rFonts w:ascii="宋体" w:hAnsi="宋体" w:eastAsia="宋体" w:cs="宋体"/>
          <w:b/>
          <w:bCs/>
          <w:color w:val="auto"/>
          <w:spacing w:val="-6"/>
          <w:highlight w:val="none"/>
        </w:rPr>
        <w:t>响应</w:t>
      </w:r>
      <w:r>
        <w:rPr>
          <w:rFonts w:ascii="宋体" w:hAnsi="宋体" w:eastAsia="宋体" w:cs="宋体"/>
          <w:b/>
          <w:bCs/>
          <w:color w:val="auto"/>
          <w:spacing w:val="-6"/>
          <w:highlight w:val="none"/>
          <w:lang w:val="zh-TW"/>
        </w:rPr>
        <w:t>函</w:t>
      </w:r>
      <w:r>
        <w:rPr>
          <w:rFonts w:ascii="宋体" w:hAnsi="宋体" w:eastAsia="宋体" w:cs="宋体"/>
          <w:b/>
          <w:bCs/>
          <w:color w:val="auto"/>
          <w:spacing w:val="-6"/>
          <w:highlight w:val="none"/>
          <w:lang w:val="zh-TW" w:eastAsia="zh-TW"/>
        </w:rPr>
        <w:t>的格式要求填写的，将造成非实质响应，从而导致该</w:t>
      </w:r>
      <w:r>
        <w:rPr>
          <w:rFonts w:hAnsi="宋体"/>
          <w:b/>
          <w:bCs/>
          <w:color w:val="auto"/>
          <w:highlight w:val="none"/>
        </w:rPr>
        <w:t>供应商响应无效</w:t>
      </w:r>
      <w:r>
        <w:rPr>
          <w:rFonts w:ascii="宋体" w:hAnsi="宋体" w:eastAsia="宋体" w:cs="宋体"/>
          <w:color w:val="auto"/>
          <w:highlight w:val="none"/>
          <w:lang w:val="zh-TW" w:eastAsia="zh-TW"/>
        </w:rPr>
        <w:t>。</w:t>
      </w:r>
    </w:p>
    <w:p w14:paraId="3D79A6D8">
      <w:pPr>
        <w:keepNext/>
        <w:keepLines/>
        <w:numPr>
          <w:ilvl w:val="0"/>
          <w:numId w:val="1"/>
        </w:numPr>
        <w:spacing w:before="120" w:after="120" w:line="560" w:lineRule="exact"/>
        <w:jc w:val="left"/>
        <w:outlineLvl w:val="1"/>
        <w:rPr>
          <w:rFonts w:ascii="黑体" w:hAnsi="黑体" w:eastAsia="黑体" w:cs="宋体"/>
          <w:bCs/>
          <w:color w:val="auto"/>
          <w:szCs w:val="28"/>
          <w:highlight w:val="none"/>
        </w:rPr>
      </w:pPr>
      <w:r>
        <w:rPr>
          <w:rFonts w:hint="eastAsia" w:ascii="黑体" w:hAnsi="黑体" w:eastAsia="黑体" w:cs="宋体"/>
          <w:bCs/>
          <w:color w:val="auto"/>
          <w:szCs w:val="28"/>
          <w:highlight w:val="none"/>
        </w:rPr>
        <w:t>首次磋商报价表（开标一览表）（格式）</w:t>
      </w:r>
    </w:p>
    <w:p w14:paraId="2B175D1A">
      <w:pPr>
        <w:spacing w:before="286" w:after="286"/>
        <w:jc w:val="center"/>
        <w:rPr>
          <w:rFonts w:ascii="宋体" w:hAnsi="宋体" w:cs="宋体"/>
          <w:i/>
          <w:iCs/>
          <w:color w:val="auto"/>
          <w:szCs w:val="21"/>
          <w:highlight w:val="none"/>
          <w:u w:val="single"/>
        </w:rPr>
      </w:pPr>
      <w:r>
        <w:rPr>
          <w:rFonts w:hint="eastAsia" w:ascii="宋体" w:hAnsi="宋体" w:cs="宋体"/>
          <w:b/>
          <w:i/>
          <w:iCs/>
          <w:color w:val="auto"/>
          <w:szCs w:val="21"/>
          <w:highlight w:val="none"/>
          <w:u w:val="single"/>
        </w:rPr>
        <w:t>首次磋商报价表（开标一览表）</w:t>
      </w:r>
    </w:p>
    <w:tbl>
      <w:tblPr>
        <w:tblStyle w:val="41"/>
        <w:tblpPr w:leftFromText="180" w:rightFromText="180" w:vertAnchor="text" w:horzAnchor="margin" w:tblpXSpec="center" w:tblpY="2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6585"/>
      </w:tblGrid>
      <w:tr w14:paraId="23DAF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54" w:hRule="atLeast"/>
        </w:trPr>
        <w:tc>
          <w:tcPr>
            <w:tcW w:w="2103" w:type="dxa"/>
            <w:noWrap w:val="0"/>
            <w:vAlign w:val="center"/>
          </w:tcPr>
          <w:p w14:paraId="6D085150">
            <w:pPr>
              <w:spacing w:line="520" w:lineRule="exact"/>
              <w:ind w:firstLine="0"/>
              <w:rPr>
                <w:rFonts w:ascii="宋体" w:hAnsi="宋体" w:cs="宋体"/>
                <w:bCs/>
                <w:color w:val="auto"/>
                <w:szCs w:val="21"/>
                <w:highlight w:val="none"/>
              </w:rPr>
            </w:pPr>
            <w:r>
              <w:rPr>
                <w:rFonts w:hint="eastAsia" w:ascii="宋体" w:hAnsi="宋体" w:cs="宋体"/>
                <w:bCs/>
                <w:color w:val="auto"/>
                <w:szCs w:val="21"/>
                <w:highlight w:val="none"/>
                <w:lang w:eastAsia="zh-CN"/>
              </w:rPr>
              <w:t>项目</w:t>
            </w:r>
            <w:r>
              <w:rPr>
                <w:rFonts w:hint="eastAsia" w:ascii="宋体" w:hAnsi="宋体" w:cs="宋体"/>
                <w:bCs/>
                <w:color w:val="auto"/>
                <w:szCs w:val="21"/>
                <w:highlight w:val="none"/>
              </w:rPr>
              <w:t>名称及编号</w:t>
            </w:r>
          </w:p>
        </w:tc>
        <w:tc>
          <w:tcPr>
            <w:tcW w:w="6585" w:type="dxa"/>
            <w:noWrap w:val="0"/>
            <w:vAlign w:val="center"/>
          </w:tcPr>
          <w:p w14:paraId="7CC7F0C1">
            <w:pPr>
              <w:spacing w:line="500" w:lineRule="exact"/>
              <w:rPr>
                <w:rFonts w:ascii="宋体" w:hAnsi="宋体" w:cs="宋体"/>
                <w:color w:val="auto"/>
                <w:szCs w:val="21"/>
                <w:highlight w:val="none"/>
              </w:rPr>
            </w:pPr>
            <w:r>
              <w:rPr>
                <w:rFonts w:hint="eastAsia" w:ascii="宋体" w:hAnsi="宋体" w:cs="宋体"/>
                <w:color w:val="auto"/>
                <w:szCs w:val="21"/>
                <w:highlight w:val="none"/>
                <w:lang w:eastAsia="zh-CN"/>
              </w:rPr>
              <w:t>项目</w:t>
            </w:r>
            <w:r>
              <w:rPr>
                <w:rFonts w:hint="eastAsia" w:ascii="宋体" w:hAnsi="宋体" w:cs="宋体"/>
                <w:color w:val="auto"/>
                <w:szCs w:val="21"/>
                <w:highlight w:val="none"/>
              </w:rPr>
              <w:t>名称：</w:t>
            </w:r>
          </w:p>
          <w:p w14:paraId="30B105E3">
            <w:pPr>
              <w:spacing w:line="500" w:lineRule="exact"/>
              <w:rPr>
                <w:rFonts w:ascii="宋体" w:hAnsi="宋体" w:cs="宋体"/>
                <w:color w:val="auto"/>
                <w:szCs w:val="21"/>
                <w:highlight w:val="none"/>
                <w:u w:val="single"/>
              </w:rPr>
            </w:pPr>
            <w:r>
              <w:rPr>
                <w:rFonts w:hint="eastAsia" w:ascii="宋体" w:hAnsi="宋体" w:cs="宋体"/>
                <w:color w:val="auto"/>
                <w:szCs w:val="21"/>
                <w:highlight w:val="none"/>
                <w:lang w:eastAsia="zh-CN"/>
              </w:rPr>
              <w:t>项目</w:t>
            </w:r>
            <w:r>
              <w:rPr>
                <w:rFonts w:hint="eastAsia" w:ascii="宋体" w:hAnsi="宋体" w:cs="宋体"/>
                <w:color w:val="auto"/>
                <w:szCs w:val="21"/>
                <w:highlight w:val="none"/>
              </w:rPr>
              <w:t>编号：</w:t>
            </w:r>
          </w:p>
        </w:tc>
      </w:tr>
      <w:tr w14:paraId="2DBB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0" w:hRule="atLeast"/>
        </w:trPr>
        <w:tc>
          <w:tcPr>
            <w:tcW w:w="2103" w:type="dxa"/>
            <w:noWrap w:val="0"/>
            <w:vAlign w:val="center"/>
          </w:tcPr>
          <w:p w14:paraId="5BF4B74F">
            <w:pPr>
              <w:spacing w:line="520" w:lineRule="exact"/>
              <w:ind w:firstLine="0"/>
              <w:jc w:val="center"/>
              <w:rPr>
                <w:rFonts w:ascii="宋体" w:hAnsi="宋体" w:cs="宋体"/>
                <w:bCs/>
                <w:color w:val="auto"/>
                <w:szCs w:val="21"/>
                <w:highlight w:val="none"/>
              </w:rPr>
            </w:pPr>
            <w:r>
              <w:rPr>
                <w:rFonts w:hint="eastAsia" w:ascii="宋体" w:hAnsi="宋体" w:cs="宋体"/>
                <w:bCs/>
                <w:color w:val="auto"/>
                <w:szCs w:val="21"/>
                <w:highlight w:val="none"/>
              </w:rPr>
              <w:t>首次磋商报价</w:t>
            </w:r>
          </w:p>
          <w:p w14:paraId="43305737">
            <w:pPr>
              <w:spacing w:line="520" w:lineRule="exact"/>
              <w:ind w:firstLine="0"/>
              <w:jc w:val="center"/>
              <w:rPr>
                <w:rFonts w:ascii="宋体" w:hAnsi="宋体" w:cs="宋体"/>
                <w:bCs/>
                <w:color w:val="auto"/>
                <w:szCs w:val="21"/>
                <w:highlight w:val="none"/>
              </w:rPr>
            </w:pPr>
            <w:r>
              <w:rPr>
                <w:rFonts w:hint="eastAsia" w:ascii="宋体" w:hAnsi="宋体" w:cs="宋体"/>
                <w:bCs/>
                <w:color w:val="auto"/>
                <w:szCs w:val="21"/>
                <w:highlight w:val="none"/>
              </w:rPr>
              <w:t>（人民币）</w:t>
            </w:r>
          </w:p>
        </w:tc>
        <w:tc>
          <w:tcPr>
            <w:tcW w:w="6585" w:type="dxa"/>
            <w:noWrap w:val="0"/>
            <w:vAlign w:val="center"/>
          </w:tcPr>
          <w:p w14:paraId="14ABDAD9">
            <w:pPr>
              <w:spacing w:line="520" w:lineRule="exact"/>
              <w:ind w:firstLine="0"/>
              <w:rPr>
                <w:rFonts w:ascii="宋体" w:hAnsi="宋体" w:cs="宋体"/>
                <w:bCs/>
                <w:color w:val="auto"/>
                <w:szCs w:val="21"/>
                <w:highlight w:val="none"/>
                <w:u w:val="single"/>
              </w:rPr>
            </w:pPr>
            <w:r>
              <w:rPr>
                <w:rFonts w:hint="eastAsia" w:ascii="宋体" w:hAnsi="宋体" w:cs="宋体"/>
                <w:bCs/>
                <w:color w:val="auto"/>
                <w:szCs w:val="21"/>
                <w:highlight w:val="none"/>
              </w:rPr>
              <w:t>大写：</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元）</w:t>
            </w:r>
          </w:p>
        </w:tc>
      </w:tr>
      <w:tr w14:paraId="62AD8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0" w:hRule="atLeast"/>
        </w:trPr>
        <w:tc>
          <w:tcPr>
            <w:tcW w:w="2103" w:type="dxa"/>
            <w:noWrap w:val="0"/>
            <w:vAlign w:val="center"/>
          </w:tcPr>
          <w:p w14:paraId="028F514D">
            <w:pPr>
              <w:spacing w:line="520" w:lineRule="exact"/>
              <w:ind w:firstLine="0"/>
              <w:jc w:val="center"/>
              <w:rPr>
                <w:rFonts w:ascii="宋体" w:hAnsi="宋体" w:cs="宋体"/>
                <w:bCs/>
                <w:color w:val="auto"/>
                <w:szCs w:val="21"/>
                <w:highlight w:val="none"/>
              </w:rPr>
            </w:pPr>
            <w:r>
              <w:rPr>
                <w:rFonts w:hint="eastAsia" w:ascii="宋体" w:hAnsi="宋体" w:cs="宋体"/>
                <w:bCs/>
                <w:color w:val="auto"/>
                <w:szCs w:val="21"/>
                <w:highlight w:val="none"/>
              </w:rPr>
              <w:t>合同履行期限</w:t>
            </w:r>
          </w:p>
          <w:p w14:paraId="1C7C07F9">
            <w:pPr>
              <w:spacing w:line="520" w:lineRule="exact"/>
              <w:ind w:firstLine="0"/>
              <w:jc w:val="center"/>
              <w:rPr>
                <w:rFonts w:ascii="宋体" w:hAnsi="宋体" w:cs="宋体"/>
                <w:bCs/>
                <w:color w:val="auto"/>
                <w:szCs w:val="21"/>
                <w:highlight w:val="none"/>
              </w:rPr>
            </w:pPr>
            <w:r>
              <w:rPr>
                <w:rFonts w:hint="eastAsia" w:ascii="宋体" w:hAnsi="宋体" w:cs="宋体"/>
                <w:bCs/>
                <w:color w:val="auto"/>
                <w:szCs w:val="21"/>
                <w:highlight w:val="none"/>
              </w:rPr>
              <w:t>（服务期）</w:t>
            </w:r>
          </w:p>
        </w:tc>
        <w:tc>
          <w:tcPr>
            <w:tcW w:w="6585" w:type="dxa"/>
            <w:noWrap w:val="0"/>
            <w:vAlign w:val="center"/>
          </w:tcPr>
          <w:p w14:paraId="324EA80B">
            <w:pPr>
              <w:spacing w:line="52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 </w:t>
            </w:r>
          </w:p>
        </w:tc>
      </w:tr>
    </w:tbl>
    <w:p w14:paraId="0B9F23E9">
      <w:pPr>
        <w:ind w:firstLine="420"/>
        <w:jc w:val="left"/>
        <w:rPr>
          <w:rFonts w:ascii="宋体" w:hAnsi="宋体" w:cs="宋体"/>
          <w:bCs/>
          <w:color w:val="auto"/>
          <w:szCs w:val="21"/>
          <w:highlight w:val="none"/>
        </w:rPr>
      </w:pPr>
    </w:p>
    <w:p w14:paraId="10F70D7D">
      <w:pPr>
        <w:ind w:firstLine="210"/>
        <w:jc w:val="left"/>
        <w:rPr>
          <w:rFonts w:ascii="宋体" w:hAnsi="宋体" w:cs="宋体"/>
          <w:bCs/>
          <w:color w:val="auto"/>
          <w:szCs w:val="21"/>
          <w:highlight w:val="none"/>
        </w:rPr>
      </w:pPr>
      <w:r>
        <w:rPr>
          <w:rFonts w:hint="eastAsia" w:ascii="宋体" w:hAnsi="宋体" w:cs="宋体"/>
          <w:bCs/>
          <w:color w:val="auto"/>
          <w:szCs w:val="21"/>
          <w:highlight w:val="none"/>
        </w:rPr>
        <w:t>供应商（盖章）：</w:t>
      </w:r>
    </w:p>
    <w:p w14:paraId="760BED6B">
      <w:pPr>
        <w:ind w:firstLine="210"/>
        <w:jc w:val="left"/>
        <w:rPr>
          <w:rFonts w:ascii="宋体" w:hAnsi="宋体" w:cs="宋体"/>
          <w:bCs/>
          <w:color w:val="auto"/>
          <w:szCs w:val="21"/>
          <w:highlight w:val="none"/>
        </w:rPr>
      </w:pPr>
      <w:r>
        <w:rPr>
          <w:rFonts w:hint="eastAsia" w:ascii="宋体" w:hAnsi="宋体" w:cs="宋体"/>
          <w:bCs/>
          <w:color w:val="auto"/>
          <w:szCs w:val="21"/>
          <w:highlight w:val="none"/>
        </w:rPr>
        <w:t>法定代表人或委托代理人（签字或盖章）：</w:t>
      </w:r>
    </w:p>
    <w:p w14:paraId="4EE907E5">
      <w:pPr>
        <w:ind w:firstLine="210"/>
        <w:jc w:val="left"/>
        <w:rPr>
          <w:rFonts w:ascii="宋体" w:hAnsi="宋体" w:cs="宋体"/>
          <w:bCs/>
          <w:color w:val="auto"/>
          <w:szCs w:val="21"/>
          <w:highlight w:val="none"/>
        </w:rPr>
      </w:pPr>
      <w:r>
        <w:rPr>
          <w:rFonts w:hint="eastAsia" w:ascii="宋体" w:hAnsi="宋体" w:cs="宋体"/>
          <w:bCs/>
          <w:color w:val="auto"/>
          <w:szCs w:val="21"/>
          <w:highlight w:val="none"/>
        </w:rPr>
        <w:t>日期：    年     月     日</w:t>
      </w:r>
    </w:p>
    <w:p w14:paraId="1D1FC3CD">
      <w:pPr>
        <w:ind w:firstLine="420"/>
        <w:rPr>
          <w:color w:val="auto"/>
          <w:highlight w:val="none"/>
        </w:rPr>
      </w:pPr>
    </w:p>
    <w:p w14:paraId="5E3DC6E7">
      <w:pPr>
        <w:ind w:firstLine="0"/>
        <w:rPr>
          <w:rFonts w:ascii="宋体" w:hAnsi="宋体" w:cs="宋体"/>
          <w:color w:val="auto"/>
          <w:szCs w:val="21"/>
          <w:highlight w:val="none"/>
        </w:rPr>
      </w:pPr>
      <w:r>
        <w:rPr>
          <w:rFonts w:hint="eastAsia" w:ascii="宋体" w:hAnsi="宋体" w:cs="宋体"/>
          <w:color w:val="auto"/>
          <w:highlight w:val="none"/>
        </w:rPr>
        <w:t>注:①磋商报价应包括磋商文件所确定的采购范围的全部内容，但该</w:t>
      </w:r>
      <w:r>
        <w:rPr>
          <w:rFonts w:hint="eastAsia" w:ascii="宋体" w:hAnsi="宋体" w:cs="宋体"/>
          <w:b/>
          <w:bCs/>
          <w:color w:val="auto"/>
          <w:highlight w:val="none"/>
        </w:rPr>
        <w:t>表报价非本次磋商的最后报价</w:t>
      </w:r>
      <w:r>
        <w:rPr>
          <w:rFonts w:hint="eastAsia" w:ascii="宋体" w:hAnsi="宋体" w:cs="宋体"/>
          <w:color w:val="auto"/>
          <w:highlight w:val="none"/>
        </w:rPr>
        <w:t>。</w:t>
      </w:r>
    </w:p>
    <w:p w14:paraId="248110C2">
      <w:pPr>
        <w:pStyle w:val="194"/>
        <w:spacing w:line="480" w:lineRule="exact"/>
        <w:jc w:val="center"/>
        <w:rPr>
          <w:rFonts w:hint="default" w:ascii="宋体" w:hAnsi="宋体" w:eastAsia="宋体" w:cs="宋体"/>
          <w:color w:val="auto"/>
          <w:highlight w:val="none"/>
          <w:lang w:val="zh-TW" w:eastAsia="zh-TW"/>
        </w:rPr>
      </w:pPr>
      <w:r>
        <w:rPr>
          <w:rFonts w:ascii="宋体" w:hAnsi="宋体" w:cs="宋体"/>
          <w:b/>
          <w:color w:val="auto"/>
          <w:highlight w:val="none"/>
        </w:rPr>
        <w:br w:type="page" w:clear="all"/>
      </w:r>
    </w:p>
    <w:p w14:paraId="76CC2D32">
      <w:pPr>
        <w:keepNext/>
        <w:keepLines/>
        <w:spacing w:before="120" w:after="120" w:line="560" w:lineRule="exact"/>
        <w:jc w:val="center"/>
        <w:outlineLvl w:val="1"/>
        <w:rPr>
          <w:rFonts w:hint="default" w:ascii="宋体" w:hAnsi="宋体" w:eastAsia="黑体" w:cs="宋体"/>
          <w:b/>
          <w:bCs/>
          <w:i/>
          <w:iCs/>
          <w:color w:val="auto"/>
          <w:sz w:val="28"/>
          <w:szCs w:val="28"/>
          <w:highlight w:val="none"/>
          <w:u w:val="single"/>
          <w:lang w:val="en-US" w:eastAsia="zh-CN"/>
        </w:rPr>
      </w:pPr>
      <w:r>
        <w:rPr>
          <w:rFonts w:ascii="宋体" w:hAnsi="宋体" w:cs="宋体"/>
          <w:b/>
          <w:bCs/>
          <w:i/>
          <w:iCs/>
          <w:color w:val="auto"/>
          <w:sz w:val="28"/>
          <w:szCs w:val="28"/>
          <w:highlight w:val="none"/>
          <w:u w:val="single"/>
          <w:lang w:val="zh-TW" w:eastAsia="zh-TW"/>
        </w:rPr>
        <w:t>（</w:t>
      </w:r>
      <w:r>
        <w:rPr>
          <w:rFonts w:hint="eastAsia" w:ascii="宋体" w:hAnsi="宋体" w:cs="宋体"/>
          <w:b/>
          <w:bCs/>
          <w:i/>
          <w:iCs/>
          <w:color w:val="auto"/>
          <w:sz w:val="28"/>
          <w:szCs w:val="28"/>
          <w:highlight w:val="none"/>
          <w:u w:val="single"/>
        </w:rPr>
        <w:t>三</w:t>
      </w:r>
      <w:r>
        <w:rPr>
          <w:rFonts w:ascii="宋体" w:hAnsi="宋体" w:cs="宋体"/>
          <w:b/>
          <w:bCs/>
          <w:i/>
          <w:iCs/>
          <w:color w:val="auto"/>
          <w:sz w:val="28"/>
          <w:szCs w:val="28"/>
          <w:highlight w:val="none"/>
          <w:u w:val="single"/>
          <w:lang w:val="zh-TW" w:eastAsia="zh-TW"/>
        </w:rPr>
        <w:t>）</w:t>
      </w:r>
      <w:r>
        <w:rPr>
          <w:rFonts w:hint="eastAsia" w:ascii="黑体" w:hAnsi="黑体" w:eastAsia="黑体" w:cs="宋体"/>
          <w:bCs/>
          <w:i/>
          <w:iCs/>
          <w:color w:val="auto"/>
          <w:szCs w:val="28"/>
          <w:highlight w:val="none"/>
          <w:u w:val="single"/>
        </w:rPr>
        <w:t>首次磋商报价明细表</w:t>
      </w:r>
      <w:r>
        <w:rPr>
          <w:rFonts w:hint="eastAsia" w:ascii="黑体" w:hAnsi="黑体" w:eastAsia="黑体" w:cs="宋体"/>
          <w:bCs/>
          <w:i/>
          <w:iCs/>
          <w:color w:val="auto"/>
          <w:szCs w:val="28"/>
          <w:highlight w:val="none"/>
          <w:u w:val="single"/>
          <w:lang w:eastAsia="zh-CN"/>
        </w:rPr>
        <w:t>（</w:t>
      </w:r>
      <w:r>
        <w:rPr>
          <w:rFonts w:hint="eastAsia" w:ascii="黑体" w:hAnsi="黑体" w:eastAsia="黑体" w:cs="宋体"/>
          <w:bCs/>
          <w:i/>
          <w:iCs/>
          <w:color w:val="auto"/>
          <w:szCs w:val="28"/>
          <w:highlight w:val="none"/>
          <w:u w:val="single"/>
          <w:lang w:val="en-US" w:eastAsia="zh-CN"/>
        </w:rPr>
        <w:t>格式自拟）</w:t>
      </w:r>
    </w:p>
    <w:p w14:paraId="0EDDAA6B">
      <w:pPr>
        <w:pStyle w:val="194"/>
        <w:spacing w:line="360" w:lineRule="auto"/>
        <w:jc w:val="center"/>
        <w:rPr>
          <w:rFonts w:hint="default" w:ascii="宋体" w:hAnsi="宋体" w:eastAsia="宋体" w:cs="宋体"/>
          <w:color w:val="auto"/>
          <w:highlight w:val="none"/>
        </w:rPr>
      </w:pPr>
    </w:p>
    <w:p w14:paraId="68F9D508">
      <w:pPr>
        <w:pStyle w:val="194"/>
        <w:spacing w:line="360" w:lineRule="auto"/>
        <w:rPr>
          <w:rFonts w:hint="default" w:ascii="宋体" w:hAnsi="宋体" w:eastAsia="宋体" w:cs="宋体"/>
          <w:color w:val="auto"/>
          <w:highlight w:val="none"/>
        </w:rPr>
      </w:pPr>
      <w:r>
        <w:rPr>
          <w:rFonts w:ascii="宋体" w:hAnsi="宋体" w:eastAsia="宋体" w:cs="宋体"/>
          <w:color w:val="auto"/>
          <w:highlight w:val="none"/>
          <w:lang w:val="zh-TW" w:eastAsia="zh-TW"/>
        </w:rPr>
        <w:t>项目名称：</w:t>
      </w:r>
    </w:p>
    <w:p w14:paraId="24F5511A">
      <w:pPr>
        <w:pStyle w:val="194"/>
        <w:spacing w:line="360" w:lineRule="auto"/>
        <w:rPr>
          <w:rFonts w:hint="default" w:ascii="宋体" w:hAnsi="宋体" w:eastAsia="宋体" w:cs="宋体"/>
          <w:color w:val="auto"/>
          <w:highlight w:val="none"/>
        </w:rPr>
      </w:pPr>
      <w:r>
        <w:rPr>
          <w:rFonts w:ascii="宋体" w:hAnsi="宋体" w:eastAsia="宋体" w:cs="宋体"/>
          <w:color w:val="auto"/>
          <w:highlight w:val="none"/>
          <w:lang w:val="zh-TW" w:eastAsia="zh-TW"/>
        </w:rPr>
        <w:t xml:space="preserve">项目编号： </w:t>
      </w:r>
    </w:p>
    <w:tbl>
      <w:tblPr>
        <w:tblStyle w:val="41"/>
        <w:tblW w:w="7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3213"/>
        <w:gridCol w:w="987"/>
        <w:gridCol w:w="863"/>
        <w:gridCol w:w="1902"/>
      </w:tblGrid>
      <w:tr w14:paraId="50910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23A4B33C">
            <w:pPr>
              <w:spacing w:line="560" w:lineRule="exact"/>
              <w:ind w:firstLine="0"/>
              <w:rPr>
                <w:rFonts w:ascii="宋体" w:hAnsi="宋体"/>
                <w:color w:val="auto"/>
                <w:sz w:val="21"/>
                <w:highlight w:val="none"/>
              </w:rPr>
            </w:pPr>
            <w:r>
              <w:rPr>
                <w:rFonts w:hint="eastAsia" w:ascii="宋体" w:hAnsi="宋体"/>
                <w:color w:val="auto"/>
                <w:sz w:val="21"/>
                <w:szCs w:val="21"/>
                <w:highlight w:val="none"/>
              </w:rPr>
              <w:t>序号</w:t>
            </w:r>
          </w:p>
        </w:tc>
        <w:tc>
          <w:tcPr>
            <w:tcW w:w="3213" w:type="dxa"/>
            <w:tcBorders>
              <w:top w:val="single" w:color="auto" w:sz="4" w:space="0"/>
              <w:left w:val="single" w:color="auto" w:sz="4" w:space="0"/>
              <w:bottom w:val="single" w:color="auto" w:sz="4" w:space="0"/>
              <w:right w:val="single" w:color="auto" w:sz="4" w:space="0"/>
            </w:tcBorders>
            <w:noWrap w:val="0"/>
            <w:vAlign w:val="center"/>
          </w:tcPr>
          <w:p w14:paraId="43949370">
            <w:pPr>
              <w:spacing w:line="560" w:lineRule="exact"/>
              <w:ind w:firstLine="0"/>
              <w:rPr>
                <w:rFonts w:ascii="宋体" w:hAnsi="宋体"/>
                <w:color w:val="auto"/>
                <w:sz w:val="21"/>
                <w:highlight w:val="none"/>
              </w:rPr>
            </w:pPr>
            <w:r>
              <w:rPr>
                <w:rFonts w:hint="eastAsia" w:ascii="宋体" w:hAnsi="宋体"/>
                <w:color w:val="auto"/>
                <w:sz w:val="21"/>
                <w:szCs w:val="21"/>
                <w:highlight w:val="none"/>
              </w:rPr>
              <w:t>产品、服务名称</w:t>
            </w:r>
          </w:p>
        </w:tc>
        <w:tc>
          <w:tcPr>
            <w:tcW w:w="987" w:type="dxa"/>
            <w:tcBorders>
              <w:top w:val="single" w:color="auto" w:sz="4" w:space="0"/>
              <w:left w:val="single" w:color="auto" w:sz="4" w:space="0"/>
              <w:bottom w:val="single" w:color="auto" w:sz="4" w:space="0"/>
              <w:right w:val="single" w:color="auto" w:sz="4" w:space="0"/>
            </w:tcBorders>
            <w:noWrap w:val="0"/>
            <w:vAlign w:val="center"/>
          </w:tcPr>
          <w:p w14:paraId="487487F2">
            <w:pPr>
              <w:spacing w:line="560" w:lineRule="exact"/>
              <w:ind w:firstLine="0"/>
              <w:rPr>
                <w:rFonts w:ascii="宋体" w:hAnsi="宋体"/>
                <w:color w:val="auto"/>
                <w:sz w:val="21"/>
                <w:highlight w:val="none"/>
              </w:rPr>
            </w:pPr>
            <w:r>
              <w:rPr>
                <w:rFonts w:hint="eastAsia" w:ascii="宋体" w:hAnsi="宋体"/>
                <w:color w:val="auto"/>
                <w:sz w:val="21"/>
                <w:szCs w:val="21"/>
                <w:highlight w:val="none"/>
              </w:rPr>
              <w:t>单位</w:t>
            </w:r>
          </w:p>
        </w:tc>
        <w:tc>
          <w:tcPr>
            <w:tcW w:w="863" w:type="dxa"/>
            <w:tcBorders>
              <w:top w:val="single" w:color="auto" w:sz="4" w:space="0"/>
              <w:left w:val="single" w:color="auto" w:sz="4" w:space="0"/>
              <w:bottom w:val="single" w:color="auto" w:sz="4" w:space="0"/>
              <w:right w:val="single" w:color="auto" w:sz="4" w:space="0"/>
            </w:tcBorders>
            <w:noWrap w:val="0"/>
            <w:vAlign w:val="center"/>
          </w:tcPr>
          <w:p w14:paraId="5C090022">
            <w:pPr>
              <w:spacing w:line="560" w:lineRule="exact"/>
              <w:ind w:firstLine="0"/>
              <w:rPr>
                <w:rFonts w:ascii="宋体" w:hAnsi="宋体"/>
                <w:color w:val="auto"/>
                <w:sz w:val="21"/>
                <w:highlight w:val="none"/>
              </w:rPr>
            </w:pPr>
            <w:r>
              <w:rPr>
                <w:rFonts w:hint="eastAsia" w:ascii="宋体" w:hAnsi="宋体"/>
                <w:color w:val="auto"/>
                <w:sz w:val="21"/>
                <w:szCs w:val="21"/>
                <w:highlight w:val="none"/>
              </w:rPr>
              <w:t>数量</w:t>
            </w:r>
          </w:p>
        </w:tc>
        <w:tc>
          <w:tcPr>
            <w:tcW w:w="1902" w:type="dxa"/>
            <w:tcBorders>
              <w:top w:val="single" w:color="auto" w:sz="4" w:space="0"/>
              <w:left w:val="single" w:color="auto" w:sz="4" w:space="0"/>
              <w:bottom w:val="single" w:color="auto" w:sz="4" w:space="0"/>
              <w:right w:val="single" w:color="auto" w:sz="4" w:space="0"/>
            </w:tcBorders>
            <w:noWrap w:val="0"/>
            <w:vAlign w:val="center"/>
          </w:tcPr>
          <w:p w14:paraId="4264CA96">
            <w:pPr>
              <w:spacing w:line="560" w:lineRule="exact"/>
              <w:ind w:firstLine="0"/>
              <w:rPr>
                <w:rFonts w:ascii="宋体" w:hAnsi="宋体"/>
                <w:color w:val="auto"/>
                <w:sz w:val="21"/>
                <w:highlight w:val="none"/>
              </w:rPr>
            </w:pPr>
            <w:r>
              <w:rPr>
                <w:rFonts w:hint="eastAsia" w:ascii="宋体" w:hAnsi="宋体"/>
                <w:color w:val="auto"/>
                <w:sz w:val="21"/>
                <w:szCs w:val="21"/>
                <w:highlight w:val="none"/>
              </w:rPr>
              <w:t>合价（元/一年）</w:t>
            </w:r>
          </w:p>
        </w:tc>
      </w:tr>
      <w:tr w14:paraId="4AC4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4974A563">
            <w:pPr>
              <w:spacing w:line="560" w:lineRule="exact"/>
              <w:jc w:val="center"/>
              <w:rPr>
                <w:rFonts w:ascii="宋体" w:hAnsi="宋体" w:eastAsia="Arial Unicode MS"/>
                <w:color w:val="auto"/>
                <w:sz w:val="21"/>
                <w:highlight w:val="none"/>
              </w:rPr>
            </w:pPr>
            <w:r>
              <w:rPr>
                <w:rFonts w:hint="eastAsia" w:ascii="宋体" w:hAnsi="宋体"/>
                <w:color w:val="auto"/>
                <w:sz w:val="21"/>
                <w:highlight w:val="none"/>
              </w:rPr>
              <w:t>1</w:t>
            </w:r>
          </w:p>
        </w:tc>
        <w:tc>
          <w:tcPr>
            <w:tcW w:w="3213" w:type="dxa"/>
            <w:tcBorders>
              <w:top w:val="single" w:color="auto" w:sz="4" w:space="0"/>
              <w:left w:val="single" w:color="auto" w:sz="4" w:space="0"/>
              <w:bottom w:val="single" w:color="auto" w:sz="4" w:space="0"/>
              <w:right w:val="single" w:color="auto" w:sz="4" w:space="0"/>
            </w:tcBorders>
            <w:noWrap w:val="0"/>
            <w:vAlign w:val="center"/>
          </w:tcPr>
          <w:p w14:paraId="4E68D7B2">
            <w:pPr>
              <w:spacing w:line="560" w:lineRule="exact"/>
              <w:jc w:val="center"/>
              <w:rPr>
                <w:rFonts w:ascii="宋体" w:hAnsi="宋体"/>
                <w:color w:val="auto"/>
                <w:sz w:val="21"/>
                <w:highlight w:val="none"/>
              </w:rPr>
            </w:pPr>
          </w:p>
        </w:tc>
        <w:tc>
          <w:tcPr>
            <w:tcW w:w="987" w:type="dxa"/>
            <w:tcBorders>
              <w:top w:val="single" w:color="auto" w:sz="4" w:space="0"/>
              <w:left w:val="single" w:color="auto" w:sz="4" w:space="0"/>
              <w:bottom w:val="single" w:color="auto" w:sz="4" w:space="0"/>
              <w:right w:val="single" w:color="auto" w:sz="4" w:space="0"/>
            </w:tcBorders>
            <w:noWrap w:val="0"/>
            <w:vAlign w:val="center"/>
          </w:tcPr>
          <w:p w14:paraId="4A6955EA">
            <w:pPr>
              <w:spacing w:line="560" w:lineRule="exact"/>
              <w:jc w:val="center"/>
              <w:rPr>
                <w:rFonts w:ascii="宋体" w:hAnsi="宋体"/>
                <w:color w:val="auto"/>
                <w:sz w:val="21"/>
                <w:highlight w:val="none"/>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49160E12">
            <w:pPr>
              <w:spacing w:line="560" w:lineRule="exact"/>
              <w:jc w:val="center"/>
              <w:rPr>
                <w:rFonts w:ascii="宋体" w:hAnsi="宋体"/>
                <w:color w:val="auto"/>
                <w:sz w:val="21"/>
                <w:highlight w:val="none"/>
              </w:rPr>
            </w:pPr>
          </w:p>
        </w:tc>
        <w:tc>
          <w:tcPr>
            <w:tcW w:w="1902" w:type="dxa"/>
            <w:tcBorders>
              <w:top w:val="single" w:color="auto" w:sz="4" w:space="0"/>
              <w:left w:val="single" w:color="auto" w:sz="4" w:space="0"/>
              <w:bottom w:val="single" w:color="auto" w:sz="4" w:space="0"/>
              <w:right w:val="single" w:color="auto" w:sz="4" w:space="0"/>
            </w:tcBorders>
            <w:noWrap w:val="0"/>
            <w:vAlign w:val="center"/>
          </w:tcPr>
          <w:p w14:paraId="704A3398">
            <w:pPr>
              <w:spacing w:line="560" w:lineRule="exact"/>
              <w:jc w:val="center"/>
              <w:rPr>
                <w:rFonts w:ascii="宋体" w:hAnsi="宋体"/>
                <w:color w:val="auto"/>
                <w:sz w:val="21"/>
                <w:highlight w:val="none"/>
              </w:rPr>
            </w:pPr>
          </w:p>
        </w:tc>
      </w:tr>
      <w:tr w14:paraId="2959F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582A2368">
            <w:pPr>
              <w:spacing w:line="560" w:lineRule="exact"/>
              <w:jc w:val="center"/>
              <w:rPr>
                <w:rFonts w:ascii="宋体" w:hAnsi="宋体" w:eastAsia="Arial Unicode MS"/>
                <w:color w:val="auto"/>
                <w:sz w:val="21"/>
                <w:highlight w:val="none"/>
              </w:rPr>
            </w:pPr>
            <w:r>
              <w:rPr>
                <w:rFonts w:hint="eastAsia" w:ascii="宋体" w:hAnsi="宋体"/>
                <w:color w:val="auto"/>
                <w:sz w:val="21"/>
                <w:highlight w:val="none"/>
              </w:rPr>
              <w:t>2</w:t>
            </w:r>
          </w:p>
        </w:tc>
        <w:tc>
          <w:tcPr>
            <w:tcW w:w="3213" w:type="dxa"/>
            <w:tcBorders>
              <w:top w:val="single" w:color="auto" w:sz="4" w:space="0"/>
              <w:left w:val="single" w:color="auto" w:sz="4" w:space="0"/>
              <w:bottom w:val="single" w:color="auto" w:sz="4" w:space="0"/>
              <w:right w:val="single" w:color="auto" w:sz="4" w:space="0"/>
            </w:tcBorders>
            <w:noWrap w:val="0"/>
            <w:vAlign w:val="center"/>
          </w:tcPr>
          <w:p w14:paraId="565DF1B4">
            <w:pPr>
              <w:spacing w:line="560" w:lineRule="exact"/>
              <w:jc w:val="center"/>
              <w:rPr>
                <w:rFonts w:ascii="宋体" w:hAnsi="宋体"/>
                <w:color w:val="auto"/>
                <w:sz w:val="21"/>
                <w:highlight w:val="none"/>
              </w:rPr>
            </w:pPr>
          </w:p>
        </w:tc>
        <w:tc>
          <w:tcPr>
            <w:tcW w:w="987" w:type="dxa"/>
            <w:tcBorders>
              <w:top w:val="single" w:color="auto" w:sz="4" w:space="0"/>
              <w:left w:val="single" w:color="auto" w:sz="4" w:space="0"/>
              <w:bottom w:val="single" w:color="auto" w:sz="4" w:space="0"/>
              <w:right w:val="single" w:color="auto" w:sz="4" w:space="0"/>
            </w:tcBorders>
            <w:noWrap w:val="0"/>
            <w:vAlign w:val="center"/>
          </w:tcPr>
          <w:p w14:paraId="5561555B">
            <w:pPr>
              <w:spacing w:line="560" w:lineRule="exact"/>
              <w:jc w:val="center"/>
              <w:rPr>
                <w:rFonts w:ascii="宋体" w:hAnsi="宋体"/>
                <w:color w:val="auto"/>
                <w:sz w:val="21"/>
                <w:highlight w:val="none"/>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45F382B3">
            <w:pPr>
              <w:spacing w:line="560" w:lineRule="exact"/>
              <w:jc w:val="center"/>
              <w:rPr>
                <w:rFonts w:ascii="宋体" w:hAnsi="宋体"/>
                <w:color w:val="auto"/>
                <w:sz w:val="21"/>
                <w:highlight w:val="none"/>
              </w:rPr>
            </w:pPr>
          </w:p>
        </w:tc>
        <w:tc>
          <w:tcPr>
            <w:tcW w:w="1902" w:type="dxa"/>
            <w:tcBorders>
              <w:top w:val="single" w:color="auto" w:sz="4" w:space="0"/>
              <w:left w:val="single" w:color="auto" w:sz="4" w:space="0"/>
              <w:bottom w:val="single" w:color="auto" w:sz="4" w:space="0"/>
              <w:right w:val="single" w:color="auto" w:sz="4" w:space="0"/>
            </w:tcBorders>
            <w:noWrap w:val="0"/>
            <w:vAlign w:val="center"/>
          </w:tcPr>
          <w:p w14:paraId="2C1FAE99">
            <w:pPr>
              <w:spacing w:line="560" w:lineRule="exact"/>
              <w:jc w:val="center"/>
              <w:rPr>
                <w:rFonts w:ascii="宋体" w:hAnsi="宋体"/>
                <w:color w:val="auto"/>
                <w:sz w:val="21"/>
                <w:highlight w:val="none"/>
              </w:rPr>
            </w:pPr>
          </w:p>
        </w:tc>
      </w:tr>
      <w:tr w14:paraId="40610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300B32B2">
            <w:pPr>
              <w:spacing w:line="560" w:lineRule="exact"/>
              <w:jc w:val="center"/>
              <w:rPr>
                <w:rFonts w:ascii="宋体" w:hAnsi="宋体" w:eastAsia="Arial Unicode MS"/>
                <w:color w:val="auto"/>
                <w:sz w:val="21"/>
                <w:highlight w:val="none"/>
              </w:rPr>
            </w:pPr>
            <w:r>
              <w:rPr>
                <w:rFonts w:hint="eastAsia" w:ascii="宋体" w:hAnsi="宋体"/>
                <w:color w:val="auto"/>
                <w:sz w:val="21"/>
                <w:highlight w:val="none"/>
              </w:rPr>
              <w:t>3</w:t>
            </w:r>
          </w:p>
        </w:tc>
        <w:tc>
          <w:tcPr>
            <w:tcW w:w="3213" w:type="dxa"/>
            <w:tcBorders>
              <w:top w:val="single" w:color="auto" w:sz="4" w:space="0"/>
              <w:left w:val="single" w:color="auto" w:sz="4" w:space="0"/>
              <w:bottom w:val="single" w:color="auto" w:sz="4" w:space="0"/>
              <w:right w:val="single" w:color="auto" w:sz="4" w:space="0"/>
            </w:tcBorders>
            <w:noWrap w:val="0"/>
            <w:vAlign w:val="center"/>
          </w:tcPr>
          <w:p w14:paraId="2E2A75AB">
            <w:pPr>
              <w:spacing w:line="560" w:lineRule="exact"/>
              <w:jc w:val="center"/>
              <w:rPr>
                <w:rFonts w:ascii="宋体" w:hAnsi="宋体"/>
                <w:color w:val="auto"/>
                <w:sz w:val="21"/>
                <w:highlight w:val="none"/>
              </w:rPr>
            </w:pPr>
          </w:p>
        </w:tc>
        <w:tc>
          <w:tcPr>
            <w:tcW w:w="987" w:type="dxa"/>
            <w:tcBorders>
              <w:top w:val="single" w:color="auto" w:sz="4" w:space="0"/>
              <w:left w:val="single" w:color="auto" w:sz="4" w:space="0"/>
              <w:bottom w:val="single" w:color="auto" w:sz="4" w:space="0"/>
              <w:right w:val="single" w:color="auto" w:sz="4" w:space="0"/>
            </w:tcBorders>
            <w:noWrap w:val="0"/>
            <w:vAlign w:val="center"/>
          </w:tcPr>
          <w:p w14:paraId="23B08952">
            <w:pPr>
              <w:spacing w:line="560" w:lineRule="exact"/>
              <w:jc w:val="center"/>
              <w:rPr>
                <w:rFonts w:ascii="宋体" w:hAnsi="宋体"/>
                <w:color w:val="auto"/>
                <w:sz w:val="21"/>
                <w:highlight w:val="none"/>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6CE4F299">
            <w:pPr>
              <w:spacing w:line="560" w:lineRule="exact"/>
              <w:jc w:val="center"/>
              <w:rPr>
                <w:rFonts w:ascii="宋体" w:hAnsi="宋体"/>
                <w:color w:val="auto"/>
                <w:sz w:val="21"/>
                <w:highlight w:val="none"/>
              </w:rPr>
            </w:pPr>
          </w:p>
        </w:tc>
        <w:tc>
          <w:tcPr>
            <w:tcW w:w="1902" w:type="dxa"/>
            <w:tcBorders>
              <w:top w:val="single" w:color="auto" w:sz="4" w:space="0"/>
              <w:left w:val="single" w:color="auto" w:sz="4" w:space="0"/>
              <w:bottom w:val="single" w:color="auto" w:sz="4" w:space="0"/>
              <w:right w:val="single" w:color="auto" w:sz="4" w:space="0"/>
            </w:tcBorders>
            <w:noWrap w:val="0"/>
            <w:vAlign w:val="center"/>
          </w:tcPr>
          <w:p w14:paraId="4793CA19">
            <w:pPr>
              <w:spacing w:line="560" w:lineRule="exact"/>
              <w:jc w:val="center"/>
              <w:rPr>
                <w:rFonts w:ascii="宋体" w:hAnsi="宋体"/>
                <w:color w:val="auto"/>
                <w:sz w:val="21"/>
                <w:highlight w:val="none"/>
              </w:rPr>
            </w:pPr>
          </w:p>
        </w:tc>
      </w:tr>
      <w:tr w14:paraId="4FBEA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AD7602E">
            <w:pPr>
              <w:spacing w:line="560" w:lineRule="exact"/>
              <w:jc w:val="center"/>
              <w:rPr>
                <w:rFonts w:ascii="宋体" w:hAnsi="宋体"/>
                <w:color w:val="auto"/>
                <w:sz w:val="21"/>
                <w:highlight w:val="none"/>
              </w:rPr>
            </w:pPr>
            <w:r>
              <w:rPr>
                <w:rFonts w:hint="eastAsia" w:ascii="宋体" w:hAnsi="宋体"/>
                <w:color w:val="auto"/>
                <w:sz w:val="21"/>
                <w:highlight w:val="none"/>
              </w:rPr>
              <w:t>...</w:t>
            </w:r>
          </w:p>
        </w:tc>
        <w:tc>
          <w:tcPr>
            <w:tcW w:w="3213" w:type="dxa"/>
            <w:tcBorders>
              <w:top w:val="single" w:color="auto" w:sz="4" w:space="0"/>
              <w:left w:val="single" w:color="auto" w:sz="4" w:space="0"/>
              <w:bottom w:val="single" w:color="auto" w:sz="4" w:space="0"/>
              <w:right w:val="single" w:color="auto" w:sz="4" w:space="0"/>
            </w:tcBorders>
            <w:noWrap w:val="0"/>
            <w:vAlign w:val="center"/>
          </w:tcPr>
          <w:p w14:paraId="0E756677">
            <w:pPr>
              <w:spacing w:line="560" w:lineRule="exact"/>
              <w:jc w:val="center"/>
              <w:rPr>
                <w:rFonts w:ascii="宋体" w:hAnsi="宋体"/>
                <w:color w:val="auto"/>
                <w:sz w:val="21"/>
                <w:highlight w:val="none"/>
              </w:rPr>
            </w:pPr>
          </w:p>
        </w:tc>
        <w:tc>
          <w:tcPr>
            <w:tcW w:w="987" w:type="dxa"/>
            <w:tcBorders>
              <w:top w:val="single" w:color="auto" w:sz="4" w:space="0"/>
              <w:left w:val="single" w:color="auto" w:sz="4" w:space="0"/>
              <w:bottom w:val="single" w:color="auto" w:sz="4" w:space="0"/>
              <w:right w:val="single" w:color="auto" w:sz="4" w:space="0"/>
            </w:tcBorders>
            <w:noWrap w:val="0"/>
            <w:vAlign w:val="center"/>
          </w:tcPr>
          <w:p w14:paraId="04E5490A">
            <w:pPr>
              <w:spacing w:line="560" w:lineRule="exact"/>
              <w:jc w:val="center"/>
              <w:rPr>
                <w:rFonts w:ascii="宋体" w:hAnsi="宋体"/>
                <w:color w:val="auto"/>
                <w:sz w:val="21"/>
                <w:highlight w:val="none"/>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21D5817E">
            <w:pPr>
              <w:spacing w:line="560" w:lineRule="exact"/>
              <w:jc w:val="center"/>
              <w:rPr>
                <w:rFonts w:ascii="宋体" w:hAnsi="宋体"/>
                <w:color w:val="auto"/>
                <w:sz w:val="21"/>
                <w:highlight w:val="none"/>
              </w:rPr>
            </w:pPr>
          </w:p>
        </w:tc>
        <w:tc>
          <w:tcPr>
            <w:tcW w:w="1902" w:type="dxa"/>
            <w:tcBorders>
              <w:top w:val="single" w:color="auto" w:sz="4" w:space="0"/>
              <w:left w:val="single" w:color="auto" w:sz="4" w:space="0"/>
              <w:bottom w:val="single" w:color="auto" w:sz="4" w:space="0"/>
              <w:right w:val="single" w:color="auto" w:sz="4" w:space="0"/>
            </w:tcBorders>
            <w:noWrap w:val="0"/>
            <w:vAlign w:val="center"/>
          </w:tcPr>
          <w:p w14:paraId="2FE6EBD4">
            <w:pPr>
              <w:spacing w:line="560" w:lineRule="exact"/>
              <w:jc w:val="center"/>
              <w:rPr>
                <w:rFonts w:ascii="宋体" w:hAnsi="宋体"/>
                <w:color w:val="auto"/>
                <w:sz w:val="21"/>
                <w:highlight w:val="none"/>
              </w:rPr>
            </w:pPr>
          </w:p>
        </w:tc>
      </w:tr>
      <w:tr w14:paraId="2E2D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752B11D8">
            <w:pPr>
              <w:spacing w:line="560" w:lineRule="exact"/>
              <w:jc w:val="center"/>
              <w:rPr>
                <w:rFonts w:ascii="宋体" w:hAnsi="宋体"/>
                <w:color w:val="auto"/>
                <w:sz w:val="21"/>
                <w:highlight w:val="none"/>
              </w:rPr>
            </w:pPr>
          </w:p>
        </w:tc>
        <w:tc>
          <w:tcPr>
            <w:tcW w:w="3213" w:type="dxa"/>
            <w:tcBorders>
              <w:top w:val="single" w:color="auto" w:sz="4" w:space="0"/>
              <w:left w:val="single" w:color="auto" w:sz="4" w:space="0"/>
              <w:bottom w:val="single" w:color="auto" w:sz="4" w:space="0"/>
              <w:right w:val="single" w:color="auto" w:sz="4" w:space="0"/>
            </w:tcBorders>
            <w:noWrap w:val="0"/>
            <w:vAlign w:val="center"/>
          </w:tcPr>
          <w:p w14:paraId="44914A1C">
            <w:pPr>
              <w:spacing w:line="560" w:lineRule="exact"/>
              <w:jc w:val="center"/>
              <w:rPr>
                <w:rFonts w:ascii="宋体" w:hAnsi="宋体"/>
                <w:color w:val="auto"/>
                <w:sz w:val="21"/>
                <w:highlight w:val="none"/>
              </w:rPr>
            </w:pPr>
          </w:p>
        </w:tc>
        <w:tc>
          <w:tcPr>
            <w:tcW w:w="987" w:type="dxa"/>
            <w:tcBorders>
              <w:top w:val="single" w:color="auto" w:sz="4" w:space="0"/>
              <w:left w:val="single" w:color="auto" w:sz="4" w:space="0"/>
              <w:bottom w:val="single" w:color="auto" w:sz="4" w:space="0"/>
              <w:right w:val="single" w:color="auto" w:sz="4" w:space="0"/>
            </w:tcBorders>
            <w:noWrap w:val="0"/>
            <w:vAlign w:val="center"/>
          </w:tcPr>
          <w:p w14:paraId="1BD8386E">
            <w:pPr>
              <w:spacing w:line="560" w:lineRule="exact"/>
              <w:jc w:val="center"/>
              <w:rPr>
                <w:rFonts w:ascii="宋体" w:hAnsi="宋体"/>
                <w:color w:val="auto"/>
                <w:sz w:val="21"/>
                <w:highlight w:val="none"/>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49B5D5AD">
            <w:pPr>
              <w:spacing w:line="560" w:lineRule="exact"/>
              <w:jc w:val="center"/>
              <w:rPr>
                <w:rFonts w:ascii="宋体" w:hAnsi="宋体"/>
                <w:color w:val="auto"/>
                <w:sz w:val="21"/>
                <w:highlight w:val="none"/>
              </w:rPr>
            </w:pPr>
          </w:p>
        </w:tc>
        <w:tc>
          <w:tcPr>
            <w:tcW w:w="1902" w:type="dxa"/>
            <w:tcBorders>
              <w:top w:val="single" w:color="auto" w:sz="4" w:space="0"/>
              <w:left w:val="single" w:color="auto" w:sz="4" w:space="0"/>
              <w:bottom w:val="single" w:color="auto" w:sz="4" w:space="0"/>
              <w:right w:val="single" w:color="auto" w:sz="4" w:space="0"/>
            </w:tcBorders>
            <w:noWrap w:val="0"/>
            <w:vAlign w:val="center"/>
          </w:tcPr>
          <w:p w14:paraId="1B6EF472">
            <w:pPr>
              <w:spacing w:line="560" w:lineRule="exact"/>
              <w:jc w:val="center"/>
              <w:rPr>
                <w:rFonts w:ascii="宋体" w:hAnsi="宋体"/>
                <w:color w:val="auto"/>
                <w:sz w:val="21"/>
                <w:highlight w:val="none"/>
              </w:rPr>
            </w:pPr>
          </w:p>
        </w:tc>
      </w:tr>
      <w:tr w14:paraId="3D7CC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784" w:type="dxa"/>
            <w:tcBorders>
              <w:top w:val="single" w:color="auto" w:sz="4" w:space="0"/>
              <w:left w:val="single" w:color="auto" w:sz="4" w:space="0"/>
              <w:bottom w:val="single" w:color="auto" w:sz="4" w:space="0"/>
              <w:right w:val="single" w:color="auto" w:sz="4" w:space="0"/>
            </w:tcBorders>
            <w:noWrap w:val="0"/>
            <w:vAlign w:val="center"/>
          </w:tcPr>
          <w:p w14:paraId="01AF7149">
            <w:pPr>
              <w:spacing w:line="560" w:lineRule="exact"/>
              <w:jc w:val="center"/>
              <w:rPr>
                <w:rFonts w:ascii="宋体" w:hAnsi="宋体"/>
                <w:color w:val="auto"/>
                <w:sz w:val="21"/>
                <w:highlight w:val="none"/>
              </w:rPr>
            </w:pPr>
          </w:p>
        </w:tc>
        <w:tc>
          <w:tcPr>
            <w:tcW w:w="3213" w:type="dxa"/>
            <w:tcBorders>
              <w:top w:val="single" w:color="auto" w:sz="4" w:space="0"/>
              <w:left w:val="single" w:color="auto" w:sz="4" w:space="0"/>
              <w:bottom w:val="single" w:color="auto" w:sz="4" w:space="0"/>
              <w:right w:val="single" w:color="auto" w:sz="4" w:space="0"/>
            </w:tcBorders>
            <w:noWrap w:val="0"/>
            <w:vAlign w:val="center"/>
          </w:tcPr>
          <w:p w14:paraId="7B49CB23">
            <w:pPr>
              <w:spacing w:line="560" w:lineRule="exact"/>
              <w:jc w:val="center"/>
              <w:rPr>
                <w:rFonts w:ascii="宋体" w:hAnsi="宋体"/>
                <w:color w:val="auto"/>
                <w:sz w:val="21"/>
                <w:highlight w:val="none"/>
              </w:rPr>
            </w:pPr>
          </w:p>
        </w:tc>
        <w:tc>
          <w:tcPr>
            <w:tcW w:w="987" w:type="dxa"/>
            <w:tcBorders>
              <w:top w:val="single" w:color="auto" w:sz="4" w:space="0"/>
              <w:left w:val="single" w:color="auto" w:sz="4" w:space="0"/>
              <w:bottom w:val="single" w:color="auto" w:sz="4" w:space="0"/>
              <w:right w:val="single" w:color="auto" w:sz="4" w:space="0"/>
            </w:tcBorders>
            <w:noWrap w:val="0"/>
            <w:vAlign w:val="center"/>
          </w:tcPr>
          <w:p w14:paraId="32EEE0C8">
            <w:pPr>
              <w:spacing w:line="560" w:lineRule="exact"/>
              <w:jc w:val="center"/>
              <w:rPr>
                <w:rFonts w:ascii="宋体" w:hAnsi="宋体"/>
                <w:color w:val="auto"/>
                <w:sz w:val="21"/>
                <w:highlight w:val="none"/>
              </w:rPr>
            </w:pPr>
          </w:p>
        </w:tc>
        <w:tc>
          <w:tcPr>
            <w:tcW w:w="863" w:type="dxa"/>
            <w:tcBorders>
              <w:top w:val="single" w:color="auto" w:sz="4" w:space="0"/>
              <w:left w:val="single" w:color="auto" w:sz="4" w:space="0"/>
              <w:bottom w:val="single" w:color="auto" w:sz="4" w:space="0"/>
              <w:right w:val="single" w:color="auto" w:sz="4" w:space="0"/>
            </w:tcBorders>
            <w:noWrap w:val="0"/>
            <w:vAlign w:val="center"/>
          </w:tcPr>
          <w:p w14:paraId="49047D93">
            <w:pPr>
              <w:spacing w:line="560" w:lineRule="exact"/>
              <w:jc w:val="center"/>
              <w:rPr>
                <w:rFonts w:ascii="宋体" w:hAnsi="宋体"/>
                <w:color w:val="auto"/>
                <w:sz w:val="21"/>
                <w:highlight w:val="none"/>
              </w:rPr>
            </w:pPr>
          </w:p>
        </w:tc>
        <w:tc>
          <w:tcPr>
            <w:tcW w:w="1902" w:type="dxa"/>
            <w:tcBorders>
              <w:top w:val="single" w:color="auto" w:sz="4" w:space="0"/>
              <w:left w:val="single" w:color="auto" w:sz="4" w:space="0"/>
              <w:bottom w:val="single" w:color="auto" w:sz="4" w:space="0"/>
              <w:right w:val="single" w:color="auto" w:sz="4" w:space="0"/>
            </w:tcBorders>
            <w:noWrap w:val="0"/>
            <w:vAlign w:val="center"/>
          </w:tcPr>
          <w:p w14:paraId="237C229A">
            <w:pPr>
              <w:spacing w:line="560" w:lineRule="exact"/>
              <w:jc w:val="center"/>
              <w:rPr>
                <w:rFonts w:ascii="宋体" w:hAnsi="宋体"/>
                <w:color w:val="auto"/>
                <w:sz w:val="21"/>
                <w:highlight w:val="none"/>
              </w:rPr>
            </w:pPr>
          </w:p>
        </w:tc>
      </w:tr>
    </w:tbl>
    <w:p w14:paraId="2596B5A7">
      <w:pPr>
        <w:pStyle w:val="196"/>
        <w:ind w:firstLine="0"/>
        <w:rPr>
          <w:color w:val="auto"/>
          <w:highlight w:val="none"/>
        </w:rPr>
      </w:pPr>
    </w:p>
    <w:p w14:paraId="27C18BFF">
      <w:pPr>
        <w:pStyle w:val="194"/>
        <w:spacing w:line="44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备注：</w:t>
      </w:r>
    </w:p>
    <w:p w14:paraId="3DD2A1C1">
      <w:pPr>
        <w:pStyle w:val="194"/>
        <w:widowControl/>
        <w:spacing w:line="440" w:lineRule="exact"/>
        <w:ind w:firstLine="420"/>
        <w:jc w:val="left"/>
        <w:rPr>
          <w:rFonts w:hint="default" w:ascii="宋体" w:hAnsi="宋体" w:eastAsia="宋体" w:cs="宋体"/>
          <w:color w:val="auto"/>
          <w:highlight w:val="none"/>
        </w:rPr>
      </w:pPr>
      <w:r>
        <w:rPr>
          <w:rFonts w:ascii="宋体" w:hAnsi="宋体" w:eastAsia="宋体" w:cs="宋体"/>
          <w:color w:val="auto"/>
          <w:highlight w:val="none"/>
        </w:rPr>
        <w:t>1</w:t>
      </w:r>
      <w:r>
        <w:rPr>
          <w:rFonts w:ascii="宋体" w:hAnsi="宋体" w:eastAsia="宋体" w:cs="宋体"/>
          <w:color w:val="auto"/>
          <w:highlight w:val="none"/>
          <w:lang w:val="zh-TW" w:eastAsia="zh-TW"/>
        </w:rPr>
        <w:t>、如果行数不够，请自行增加。</w:t>
      </w:r>
    </w:p>
    <w:p w14:paraId="227C1A95">
      <w:pPr>
        <w:pStyle w:val="194"/>
        <w:widowControl/>
        <w:spacing w:line="440" w:lineRule="exact"/>
        <w:ind w:firstLine="420"/>
        <w:jc w:val="left"/>
        <w:rPr>
          <w:rFonts w:hint="default" w:ascii="宋体" w:hAnsi="宋体" w:eastAsia="宋体" w:cs="宋体"/>
          <w:color w:val="auto"/>
          <w:highlight w:val="none"/>
        </w:rPr>
      </w:pPr>
      <w:r>
        <w:rPr>
          <w:rFonts w:ascii="宋体" w:hAnsi="宋体" w:eastAsia="宋体" w:cs="宋体"/>
          <w:color w:val="auto"/>
          <w:highlight w:val="none"/>
        </w:rPr>
        <w:t>2</w:t>
      </w:r>
      <w:r>
        <w:rPr>
          <w:rFonts w:ascii="宋体" w:hAnsi="宋体" w:eastAsia="宋体" w:cs="宋体"/>
          <w:color w:val="auto"/>
          <w:highlight w:val="none"/>
          <w:lang w:val="zh-TW" w:eastAsia="zh-TW"/>
        </w:rPr>
        <w:t>、注：</w:t>
      </w:r>
      <w:r>
        <w:rPr>
          <w:rFonts w:ascii="宋体" w:hAnsi="宋体" w:eastAsia="宋体" w:cs="宋体"/>
          <w:color w:val="auto"/>
          <w:highlight w:val="none"/>
        </w:rPr>
        <w:t>“</w:t>
      </w:r>
      <w:r>
        <w:rPr>
          <w:rFonts w:ascii="宋体" w:hAnsi="宋体" w:eastAsia="宋体" w:cs="宋体"/>
          <w:color w:val="auto"/>
          <w:highlight w:val="none"/>
          <w:lang w:val="zh-TW" w:eastAsia="zh-TW"/>
        </w:rPr>
        <w:t>报价明细表</w:t>
      </w:r>
      <w:r>
        <w:rPr>
          <w:rFonts w:ascii="宋体" w:hAnsi="宋体" w:eastAsia="宋体" w:cs="宋体"/>
          <w:color w:val="auto"/>
          <w:highlight w:val="none"/>
        </w:rPr>
        <w:t>”</w:t>
      </w:r>
      <w:r>
        <w:rPr>
          <w:rFonts w:ascii="宋体" w:hAnsi="宋体" w:eastAsia="宋体" w:cs="宋体"/>
          <w:color w:val="auto"/>
          <w:highlight w:val="none"/>
          <w:lang w:val="zh-TW" w:eastAsia="zh-TW"/>
        </w:rPr>
        <w:t>各分项报价合计金额应当与</w:t>
      </w:r>
      <w:r>
        <w:rPr>
          <w:rFonts w:ascii="宋体" w:hAnsi="宋体" w:eastAsia="宋体" w:cs="宋体"/>
          <w:color w:val="auto"/>
          <w:highlight w:val="none"/>
        </w:rPr>
        <w:t>“</w:t>
      </w:r>
      <w:r>
        <w:rPr>
          <w:rFonts w:ascii="宋体" w:hAnsi="宋体" w:eastAsia="宋体" w:cs="宋体"/>
          <w:color w:val="auto"/>
          <w:highlight w:val="none"/>
          <w:lang w:val="zh-TW"/>
        </w:rPr>
        <w:t>投标函</w:t>
      </w:r>
      <w:r>
        <w:rPr>
          <w:rFonts w:ascii="宋体" w:hAnsi="宋体" w:eastAsia="宋体" w:cs="宋体"/>
          <w:color w:val="auto"/>
          <w:highlight w:val="none"/>
        </w:rPr>
        <w:t>”</w:t>
      </w:r>
      <w:r>
        <w:rPr>
          <w:rFonts w:ascii="宋体" w:hAnsi="宋体" w:eastAsia="宋体" w:cs="宋体"/>
          <w:color w:val="auto"/>
          <w:highlight w:val="none"/>
          <w:lang w:val="zh-TW" w:eastAsia="zh-TW"/>
        </w:rPr>
        <w:t>投标总价相等，如不相等，以</w:t>
      </w:r>
      <w:r>
        <w:rPr>
          <w:rFonts w:ascii="宋体" w:hAnsi="宋体" w:eastAsia="宋体" w:cs="宋体"/>
          <w:color w:val="auto"/>
          <w:highlight w:val="none"/>
        </w:rPr>
        <w:t>“</w:t>
      </w:r>
      <w:r>
        <w:rPr>
          <w:rFonts w:ascii="宋体" w:hAnsi="宋体" w:eastAsia="宋体" w:cs="宋体"/>
          <w:color w:val="auto"/>
          <w:highlight w:val="none"/>
          <w:lang w:val="zh-TW"/>
        </w:rPr>
        <w:t>投标函</w:t>
      </w:r>
      <w:r>
        <w:rPr>
          <w:rFonts w:ascii="宋体" w:hAnsi="宋体" w:eastAsia="宋体" w:cs="宋体"/>
          <w:color w:val="auto"/>
          <w:highlight w:val="none"/>
        </w:rPr>
        <w:t>”</w:t>
      </w:r>
      <w:r>
        <w:rPr>
          <w:rFonts w:ascii="宋体" w:hAnsi="宋体" w:eastAsia="宋体" w:cs="宋体"/>
          <w:color w:val="auto"/>
          <w:highlight w:val="none"/>
          <w:lang w:val="zh-TW" w:eastAsia="zh-TW"/>
        </w:rPr>
        <w:t>为准。</w:t>
      </w:r>
    </w:p>
    <w:p w14:paraId="440F969A">
      <w:pPr>
        <w:pStyle w:val="194"/>
        <w:widowControl/>
        <w:spacing w:line="440" w:lineRule="exact"/>
        <w:ind w:firstLine="420"/>
        <w:jc w:val="left"/>
        <w:rPr>
          <w:rFonts w:hint="default"/>
          <w:color w:val="auto"/>
          <w:highlight w:val="none"/>
        </w:rPr>
      </w:pPr>
      <w:r>
        <w:rPr>
          <w:rFonts w:ascii="宋体" w:hAnsi="宋体" w:eastAsia="宋体" w:cs="宋体"/>
          <w:color w:val="auto"/>
          <w:highlight w:val="none"/>
        </w:rPr>
        <w:t>3</w:t>
      </w:r>
      <w:r>
        <w:rPr>
          <w:rFonts w:ascii="宋体" w:hAnsi="宋体" w:eastAsia="宋体" w:cs="宋体"/>
          <w:color w:val="auto"/>
          <w:highlight w:val="none"/>
          <w:lang w:val="zh-TW" w:eastAsia="zh-TW"/>
        </w:rPr>
        <w:t>、总价包括但不限于人工费用（包括工资、奖金、社保、节假日的加班费、员工福利、服装费用、保洁耗材、管理费、法定税金等费用）、专用设备、服装、胸卡、通讯、保险（含意外险）、各种税费、利润、政策性文件规定及合同包含的所有风险、责任等的费用（风险因素包括遇重大活动、检查、突发情况、最低工资调整、物价调整、税费调整等）及其他为完成本项目所产生的一切相关费用。中标后费用不再另行增加，请投标人综合考虑 。</w:t>
      </w:r>
    </w:p>
    <w:p w14:paraId="0426E412">
      <w:pPr>
        <w:ind w:firstLine="210"/>
        <w:jc w:val="center"/>
        <w:rPr>
          <w:rFonts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供应商（盖章）：</w:t>
      </w:r>
    </w:p>
    <w:p w14:paraId="0553B019">
      <w:pPr>
        <w:ind w:firstLine="210"/>
        <w:jc w:val="center"/>
        <w:rPr>
          <w:rFonts w:ascii="宋体" w:hAnsi="宋体" w:cs="宋体"/>
          <w:color w:val="auto"/>
          <w:sz w:val="21"/>
          <w:szCs w:val="21"/>
          <w:highlight w:val="none"/>
          <w:lang w:val="zh-TW" w:eastAsia="zh-TW"/>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TW" w:eastAsia="zh-TW"/>
        </w:rPr>
        <w:t>法定代表人或委托代理人（签字或盖章）：</w:t>
      </w:r>
    </w:p>
    <w:p w14:paraId="4E1A6BC4">
      <w:pPr>
        <w:ind w:firstLine="210"/>
        <w:jc w:val="center"/>
        <w:rPr>
          <w:rFonts w:ascii="宋体" w:hAnsi="宋体" w:cs="宋体"/>
          <w:color w:val="auto"/>
          <w:sz w:val="21"/>
          <w:szCs w:val="21"/>
          <w:highlight w:val="none"/>
          <w:lang w:val="zh-TW" w:eastAsia="zh-TW"/>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TW" w:eastAsia="zh-TW"/>
        </w:rPr>
        <w:t>日期：    年     月     日</w:t>
      </w:r>
    </w:p>
    <w:p w14:paraId="069C9ACE">
      <w:pPr>
        <w:pStyle w:val="194"/>
        <w:spacing w:line="360" w:lineRule="auto"/>
        <w:ind w:firstLine="602"/>
        <w:jc w:val="center"/>
        <w:rPr>
          <w:rFonts w:hint="default" w:ascii="宋体" w:hAnsi="宋体" w:eastAsia="宋体" w:cs="宋体"/>
          <w:b/>
          <w:bCs/>
          <w:color w:val="auto"/>
          <w:sz w:val="30"/>
          <w:szCs w:val="30"/>
          <w:highlight w:val="none"/>
          <w:lang w:val="zh-TW" w:eastAsia="zh-TW"/>
        </w:rPr>
      </w:pPr>
    </w:p>
    <w:p w14:paraId="6039C8E5">
      <w:pPr>
        <w:pStyle w:val="194"/>
        <w:spacing w:line="360" w:lineRule="auto"/>
        <w:ind w:firstLine="602"/>
        <w:jc w:val="center"/>
        <w:rPr>
          <w:rFonts w:hint="default" w:ascii="宋体" w:hAnsi="宋体" w:eastAsia="宋体" w:cs="宋体"/>
          <w:b/>
          <w:bCs/>
          <w:color w:val="auto"/>
          <w:sz w:val="30"/>
          <w:szCs w:val="30"/>
          <w:highlight w:val="none"/>
          <w:lang w:val="zh-TW" w:eastAsia="zh-TW"/>
        </w:rPr>
      </w:pPr>
    </w:p>
    <w:p w14:paraId="05296306">
      <w:pPr>
        <w:pStyle w:val="195"/>
        <w:rPr>
          <w:rFonts w:hint="default"/>
          <w:highlight w:val="none"/>
          <w:lang w:val="zh-TW" w:eastAsia="zh-TW"/>
        </w:rPr>
      </w:pPr>
    </w:p>
    <w:p w14:paraId="3335A92C">
      <w:pPr>
        <w:pStyle w:val="194"/>
        <w:spacing w:line="360" w:lineRule="auto"/>
        <w:ind w:firstLine="602"/>
        <w:jc w:val="center"/>
        <w:rPr>
          <w:rFonts w:hint="default" w:ascii="宋体" w:hAnsi="宋体" w:eastAsia="宋体" w:cs="宋体"/>
          <w:b/>
          <w:bCs/>
          <w:color w:val="auto"/>
          <w:sz w:val="30"/>
          <w:szCs w:val="30"/>
          <w:highlight w:val="none"/>
        </w:rPr>
      </w:pPr>
      <w:r>
        <w:rPr>
          <w:rFonts w:ascii="宋体" w:hAnsi="宋体" w:eastAsia="宋体" w:cs="宋体"/>
          <w:b/>
          <w:bCs/>
          <w:color w:val="auto"/>
          <w:sz w:val="30"/>
          <w:szCs w:val="30"/>
          <w:highlight w:val="none"/>
          <w:lang w:val="zh-TW" w:eastAsia="zh-TW"/>
        </w:rPr>
        <w:t xml:space="preserve">第二部分 </w:t>
      </w:r>
      <w:r>
        <w:rPr>
          <w:rFonts w:ascii="宋体" w:hAnsi="宋体" w:eastAsia="宋体" w:cs="宋体"/>
          <w:b/>
          <w:bCs/>
          <w:color w:val="auto"/>
          <w:sz w:val="30"/>
          <w:szCs w:val="30"/>
          <w:highlight w:val="none"/>
        </w:rPr>
        <w:t>技术</w:t>
      </w:r>
      <w:r>
        <w:rPr>
          <w:rFonts w:ascii="宋体" w:hAnsi="宋体" w:eastAsia="宋体" w:cs="宋体"/>
          <w:b/>
          <w:bCs/>
          <w:color w:val="auto"/>
          <w:sz w:val="30"/>
          <w:szCs w:val="30"/>
          <w:highlight w:val="none"/>
          <w:lang w:val="zh-TW" w:eastAsia="zh-TW"/>
        </w:rPr>
        <w:t>文件</w:t>
      </w:r>
    </w:p>
    <w:p w14:paraId="21C0552E">
      <w:pPr>
        <w:pStyle w:val="194"/>
        <w:spacing w:line="480" w:lineRule="exact"/>
        <w:jc w:val="center"/>
        <w:rPr>
          <w:rFonts w:hint="default" w:ascii="宋体" w:hAnsi="宋体" w:eastAsia="宋体" w:cs="宋体"/>
          <w:b/>
          <w:bCs/>
          <w:i/>
          <w:iCs/>
          <w:color w:val="auto"/>
          <w:sz w:val="28"/>
          <w:szCs w:val="28"/>
          <w:highlight w:val="none"/>
          <w:u w:val="single"/>
        </w:rPr>
      </w:pPr>
      <w:r>
        <w:rPr>
          <w:rFonts w:ascii="宋体" w:hAnsi="宋体" w:eastAsia="宋体" w:cs="宋体"/>
          <w:b/>
          <w:bCs/>
          <w:i/>
          <w:iCs/>
          <w:color w:val="auto"/>
          <w:sz w:val="28"/>
          <w:szCs w:val="28"/>
          <w:highlight w:val="none"/>
          <w:u w:val="single"/>
          <w:lang w:val="zh-TW" w:eastAsia="zh-TW"/>
        </w:rPr>
        <w:t>（一）偏离表（格式）</w:t>
      </w:r>
    </w:p>
    <w:p w14:paraId="09803CF4">
      <w:pPr>
        <w:pStyle w:val="258"/>
        <w:widowControl w:val="0"/>
        <w:spacing w:before="0" w:after="0" w:line="400" w:lineRule="exact"/>
        <w:ind w:firstLine="420"/>
        <w:jc w:val="both"/>
        <w:rPr>
          <w:color w:val="auto"/>
          <w:sz w:val="21"/>
          <w:szCs w:val="21"/>
          <w:highlight w:val="none"/>
          <w:lang w:val="zh-TW" w:eastAsia="zh-TW"/>
        </w:rPr>
      </w:pPr>
      <w:r>
        <w:rPr>
          <w:color w:val="auto"/>
          <w:sz w:val="21"/>
          <w:szCs w:val="21"/>
          <w:highlight w:val="none"/>
          <w:lang w:val="zh-TW" w:eastAsia="zh-TW"/>
        </w:rPr>
        <w:t>各</w:t>
      </w:r>
      <w:r>
        <w:rPr>
          <w:rFonts w:hint="eastAsia"/>
          <w:color w:val="auto"/>
          <w:sz w:val="21"/>
          <w:szCs w:val="21"/>
          <w:highlight w:val="none"/>
          <w:lang w:val="zh-TW" w:eastAsia="zh-TW"/>
        </w:rPr>
        <w:t>供应</w:t>
      </w:r>
      <w:r>
        <w:rPr>
          <w:rFonts w:hint="eastAsia"/>
          <w:color w:val="auto"/>
          <w:sz w:val="21"/>
          <w:szCs w:val="21"/>
          <w:highlight w:val="none"/>
        </w:rPr>
        <w:t>商</w:t>
      </w:r>
      <w:r>
        <w:rPr>
          <w:color w:val="auto"/>
          <w:sz w:val="21"/>
          <w:szCs w:val="21"/>
          <w:highlight w:val="none"/>
          <w:lang w:val="zh-TW" w:eastAsia="zh-TW"/>
        </w:rPr>
        <w:t>可以根据实际情况自定义格式作详细介绍，介绍内容不少于但不限于第</w:t>
      </w:r>
      <w:r>
        <w:rPr>
          <w:rFonts w:hint="eastAsia"/>
          <w:color w:val="auto"/>
          <w:sz w:val="21"/>
          <w:szCs w:val="21"/>
          <w:highlight w:val="none"/>
        </w:rPr>
        <w:t>四</w:t>
      </w:r>
      <w:r>
        <w:rPr>
          <w:color w:val="auto"/>
          <w:sz w:val="21"/>
          <w:szCs w:val="21"/>
          <w:highlight w:val="none"/>
          <w:lang w:val="zh-TW" w:eastAsia="zh-TW"/>
        </w:rPr>
        <w:t xml:space="preserve">章 </w:t>
      </w:r>
      <w:r>
        <w:rPr>
          <w:rFonts w:hint="eastAsia" w:hAnsi="Times"/>
          <w:color w:val="auto"/>
          <w:sz w:val="21"/>
          <w:szCs w:val="21"/>
          <w:highlight w:val="none"/>
        </w:rPr>
        <w:t>项目需求的主要内容</w:t>
      </w:r>
      <w:r>
        <w:rPr>
          <w:color w:val="auto"/>
          <w:sz w:val="21"/>
          <w:szCs w:val="21"/>
          <w:highlight w:val="none"/>
          <w:lang w:val="zh-TW" w:eastAsia="zh-TW"/>
        </w:rPr>
        <w:t>。</w:t>
      </w:r>
    </w:p>
    <w:p w14:paraId="5BDE621A">
      <w:pPr>
        <w:pStyle w:val="258"/>
        <w:widowControl w:val="0"/>
        <w:spacing w:before="0" w:after="0"/>
        <w:ind w:firstLine="420"/>
        <w:jc w:val="center"/>
        <w:rPr>
          <w:color w:val="auto"/>
          <w:sz w:val="21"/>
          <w:szCs w:val="21"/>
          <w:highlight w:val="none"/>
          <w:lang w:val="zh-TW" w:eastAsia="zh-TW"/>
        </w:rPr>
      </w:pPr>
    </w:p>
    <w:p w14:paraId="25DA0666">
      <w:pPr>
        <w:pStyle w:val="258"/>
        <w:widowControl w:val="0"/>
        <w:spacing w:before="0" w:after="0"/>
        <w:ind w:firstLine="420"/>
        <w:jc w:val="center"/>
        <w:rPr>
          <w:color w:val="auto"/>
          <w:sz w:val="21"/>
          <w:szCs w:val="21"/>
          <w:highlight w:val="none"/>
          <w:lang w:val="zh-TW" w:eastAsia="zh-TW"/>
        </w:rPr>
      </w:pPr>
    </w:p>
    <w:p w14:paraId="1F4FF82B">
      <w:pPr>
        <w:pStyle w:val="258"/>
        <w:widowControl w:val="0"/>
        <w:spacing w:before="0" w:after="0"/>
        <w:ind w:firstLine="420"/>
        <w:jc w:val="center"/>
        <w:rPr>
          <w:color w:val="auto"/>
          <w:sz w:val="21"/>
          <w:szCs w:val="21"/>
          <w:highlight w:val="none"/>
          <w:lang w:val="zh-TW" w:eastAsia="zh-TW"/>
        </w:rPr>
      </w:pPr>
    </w:p>
    <w:p w14:paraId="7C9269FB">
      <w:pPr>
        <w:pStyle w:val="258"/>
        <w:widowControl w:val="0"/>
        <w:spacing w:before="0" w:after="0"/>
        <w:ind w:firstLine="420"/>
        <w:jc w:val="center"/>
        <w:rPr>
          <w:color w:val="auto"/>
          <w:sz w:val="21"/>
          <w:szCs w:val="21"/>
          <w:highlight w:val="none"/>
          <w:lang w:val="zh-TW" w:eastAsia="zh-TW"/>
        </w:rPr>
      </w:pPr>
    </w:p>
    <w:p w14:paraId="01C379F1">
      <w:pPr>
        <w:pStyle w:val="258"/>
        <w:widowControl w:val="0"/>
        <w:spacing w:before="0" w:after="0"/>
        <w:ind w:firstLine="0"/>
        <w:jc w:val="both"/>
        <w:rPr>
          <w:color w:val="auto"/>
          <w:sz w:val="21"/>
          <w:szCs w:val="21"/>
          <w:highlight w:val="none"/>
          <w:lang w:val="zh-TW" w:eastAsia="zh-TW"/>
        </w:rPr>
      </w:pPr>
    </w:p>
    <w:p w14:paraId="4AEA156E">
      <w:pPr>
        <w:pStyle w:val="258"/>
        <w:widowControl w:val="0"/>
        <w:spacing w:before="0" w:after="0"/>
        <w:ind w:firstLine="420"/>
        <w:jc w:val="center"/>
        <w:rPr>
          <w:color w:val="auto"/>
          <w:sz w:val="21"/>
          <w:szCs w:val="21"/>
          <w:highlight w:val="none"/>
          <w:lang w:val="zh-TW" w:eastAsia="zh-TW"/>
        </w:rPr>
      </w:pPr>
    </w:p>
    <w:p w14:paraId="5F315038">
      <w:pPr>
        <w:pStyle w:val="258"/>
        <w:widowControl w:val="0"/>
        <w:spacing w:before="0" w:after="0"/>
        <w:ind w:firstLine="0"/>
        <w:jc w:val="both"/>
        <w:rPr>
          <w:color w:val="auto"/>
          <w:sz w:val="21"/>
          <w:szCs w:val="21"/>
          <w:highlight w:val="none"/>
          <w:lang w:val="zh-TW" w:eastAsia="zh-TW"/>
        </w:rPr>
      </w:pPr>
    </w:p>
    <w:p w14:paraId="37C63E03">
      <w:pPr>
        <w:pStyle w:val="258"/>
        <w:widowControl w:val="0"/>
        <w:spacing w:before="0" w:after="0"/>
        <w:ind w:firstLine="420"/>
        <w:jc w:val="center"/>
        <w:rPr>
          <w:color w:val="auto"/>
          <w:sz w:val="21"/>
          <w:szCs w:val="21"/>
          <w:highlight w:val="none"/>
          <w:lang w:val="zh-TW" w:eastAsia="zh-TW"/>
        </w:rPr>
      </w:pPr>
    </w:p>
    <w:p w14:paraId="2D5EFD8F">
      <w:pPr>
        <w:pStyle w:val="258"/>
        <w:widowControl w:val="0"/>
        <w:spacing w:before="0" w:after="0" w:line="600" w:lineRule="exact"/>
        <w:jc w:val="both"/>
        <w:rPr>
          <w:color w:val="auto"/>
          <w:sz w:val="21"/>
          <w:szCs w:val="21"/>
          <w:highlight w:val="none"/>
        </w:rPr>
      </w:pPr>
      <w:r>
        <w:rPr>
          <w:color w:val="auto"/>
          <w:sz w:val="21"/>
          <w:szCs w:val="21"/>
          <w:highlight w:val="none"/>
          <w:lang w:val="zh-TW" w:eastAsia="zh-TW"/>
        </w:rPr>
        <w:t>注：</w:t>
      </w:r>
      <w:r>
        <w:rPr>
          <w:rFonts w:hAnsi="Times"/>
          <w:color w:val="auto"/>
          <w:sz w:val="21"/>
          <w:szCs w:val="21"/>
          <w:highlight w:val="none"/>
        </w:rPr>
        <w:t>“</w:t>
      </w:r>
      <w:r>
        <w:rPr>
          <w:color w:val="auto"/>
          <w:sz w:val="21"/>
          <w:szCs w:val="21"/>
          <w:highlight w:val="none"/>
          <w:lang w:val="zh-TW" w:eastAsia="zh-TW"/>
        </w:rPr>
        <w:t>偏离</w:t>
      </w:r>
      <w:r>
        <w:rPr>
          <w:rFonts w:hAnsi="Times"/>
          <w:color w:val="auto"/>
          <w:sz w:val="21"/>
          <w:szCs w:val="21"/>
          <w:highlight w:val="none"/>
        </w:rPr>
        <w:t>”</w:t>
      </w:r>
      <w:r>
        <w:rPr>
          <w:color w:val="auto"/>
          <w:sz w:val="21"/>
          <w:szCs w:val="21"/>
          <w:highlight w:val="none"/>
          <w:lang w:val="zh-TW" w:eastAsia="zh-TW"/>
        </w:rPr>
        <w:t>系指</w:t>
      </w:r>
      <w:r>
        <w:rPr>
          <w:rFonts w:hAnsi="Times"/>
          <w:color w:val="auto"/>
          <w:sz w:val="21"/>
          <w:szCs w:val="21"/>
          <w:highlight w:val="none"/>
        </w:rPr>
        <w:t>“</w:t>
      </w:r>
      <w:r>
        <w:rPr>
          <w:color w:val="auto"/>
          <w:sz w:val="21"/>
          <w:szCs w:val="21"/>
          <w:highlight w:val="none"/>
          <w:lang w:val="zh-TW" w:eastAsia="zh-TW"/>
        </w:rPr>
        <w:t>正偏离</w:t>
      </w:r>
      <w:r>
        <w:rPr>
          <w:rFonts w:hAnsi="Times"/>
          <w:color w:val="auto"/>
          <w:sz w:val="21"/>
          <w:szCs w:val="21"/>
          <w:highlight w:val="none"/>
        </w:rPr>
        <w:t>”</w:t>
      </w:r>
      <w:r>
        <w:rPr>
          <w:color w:val="auto"/>
          <w:sz w:val="21"/>
          <w:szCs w:val="21"/>
          <w:highlight w:val="none"/>
          <w:lang w:val="zh-TW" w:eastAsia="zh-TW"/>
        </w:rPr>
        <w:t>、</w:t>
      </w:r>
      <w:r>
        <w:rPr>
          <w:rFonts w:hAnsi="Times"/>
          <w:color w:val="auto"/>
          <w:sz w:val="21"/>
          <w:szCs w:val="21"/>
          <w:highlight w:val="none"/>
        </w:rPr>
        <w:t>“</w:t>
      </w:r>
      <w:r>
        <w:rPr>
          <w:color w:val="auto"/>
          <w:sz w:val="21"/>
          <w:szCs w:val="21"/>
          <w:highlight w:val="none"/>
          <w:lang w:val="zh-TW" w:eastAsia="zh-TW"/>
        </w:rPr>
        <w:t>负偏离</w:t>
      </w:r>
      <w:r>
        <w:rPr>
          <w:rFonts w:hAnsi="Times"/>
          <w:color w:val="auto"/>
          <w:sz w:val="21"/>
          <w:szCs w:val="21"/>
          <w:highlight w:val="none"/>
        </w:rPr>
        <w:t>”</w:t>
      </w:r>
      <w:r>
        <w:rPr>
          <w:color w:val="auto"/>
          <w:sz w:val="21"/>
          <w:szCs w:val="21"/>
          <w:highlight w:val="none"/>
          <w:lang w:val="zh-TW" w:eastAsia="zh-TW"/>
        </w:rPr>
        <w:t>或</w:t>
      </w:r>
      <w:r>
        <w:rPr>
          <w:rFonts w:hAnsi="Times"/>
          <w:color w:val="auto"/>
          <w:sz w:val="21"/>
          <w:szCs w:val="21"/>
          <w:highlight w:val="none"/>
        </w:rPr>
        <w:t>“</w:t>
      </w:r>
      <w:r>
        <w:rPr>
          <w:color w:val="auto"/>
          <w:sz w:val="21"/>
          <w:szCs w:val="21"/>
          <w:highlight w:val="none"/>
          <w:lang w:val="zh-TW" w:eastAsia="zh-TW"/>
        </w:rPr>
        <w:t>无偏离</w:t>
      </w:r>
      <w:r>
        <w:rPr>
          <w:rFonts w:hAnsi="Times"/>
          <w:color w:val="auto"/>
          <w:sz w:val="21"/>
          <w:szCs w:val="21"/>
          <w:highlight w:val="none"/>
        </w:rPr>
        <w:t>”</w:t>
      </w:r>
      <w:r>
        <w:rPr>
          <w:color w:val="auto"/>
          <w:sz w:val="21"/>
          <w:szCs w:val="21"/>
          <w:highlight w:val="none"/>
          <w:lang w:val="zh-TW" w:eastAsia="zh-TW"/>
        </w:rPr>
        <w:t>。</w:t>
      </w:r>
    </w:p>
    <w:p w14:paraId="2BF8F57E">
      <w:pPr>
        <w:pStyle w:val="258"/>
        <w:widowControl w:val="0"/>
        <w:spacing w:before="0" w:after="0" w:line="600" w:lineRule="exact"/>
        <w:jc w:val="both"/>
        <w:rPr>
          <w:color w:val="auto"/>
          <w:sz w:val="21"/>
          <w:szCs w:val="21"/>
          <w:highlight w:val="none"/>
        </w:rPr>
      </w:pPr>
      <w:r>
        <w:rPr>
          <w:color w:val="auto"/>
          <w:sz w:val="21"/>
          <w:szCs w:val="21"/>
          <w:highlight w:val="none"/>
          <w:lang w:val="zh-TW" w:eastAsia="zh-TW"/>
        </w:rPr>
        <w:t>后附相关证明资料。</w:t>
      </w:r>
    </w:p>
    <w:p w14:paraId="4A1F2191">
      <w:pPr>
        <w:pStyle w:val="258"/>
        <w:widowControl w:val="0"/>
        <w:spacing w:before="0" w:after="0" w:line="600" w:lineRule="exact"/>
        <w:jc w:val="both"/>
        <w:rPr>
          <w:color w:val="auto"/>
          <w:sz w:val="21"/>
          <w:szCs w:val="21"/>
          <w:highlight w:val="none"/>
        </w:rPr>
      </w:pPr>
      <w:r>
        <w:rPr>
          <w:color w:val="auto"/>
          <w:sz w:val="21"/>
          <w:szCs w:val="21"/>
          <w:highlight w:val="none"/>
          <w:lang w:val="zh-TW" w:eastAsia="zh-TW"/>
        </w:rPr>
        <w:t>法定代表人或其委托代理人签字（或盖章）：</w:t>
      </w:r>
      <w:r>
        <w:rPr>
          <w:rFonts w:ascii="Times"/>
          <w:color w:val="auto"/>
          <w:sz w:val="21"/>
          <w:szCs w:val="21"/>
          <w:highlight w:val="none"/>
          <w:u w:val="single"/>
        </w:rPr>
        <w:t xml:space="preserve">                </w:t>
      </w:r>
    </w:p>
    <w:p w14:paraId="15129D40">
      <w:pPr>
        <w:pStyle w:val="258"/>
        <w:widowControl w:val="0"/>
        <w:spacing w:before="0" w:after="0" w:line="600" w:lineRule="exact"/>
        <w:jc w:val="both"/>
        <w:rPr>
          <w:rFonts w:ascii="Times"/>
          <w:color w:val="auto"/>
          <w:sz w:val="21"/>
          <w:szCs w:val="21"/>
          <w:highlight w:val="none"/>
          <w:u w:val="single"/>
        </w:rPr>
      </w:pPr>
      <w:r>
        <w:rPr>
          <w:rFonts w:hint="eastAsia"/>
          <w:bCs/>
          <w:color w:val="auto"/>
          <w:szCs w:val="21"/>
          <w:highlight w:val="none"/>
        </w:rPr>
        <w:t>供应商</w:t>
      </w:r>
      <w:r>
        <w:rPr>
          <w:color w:val="auto"/>
          <w:sz w:val="21"/>
          <w:szCs w:val="21"/>
          <w:highlight w:val="none"/>
          <w:lang w:val="zh-TW" w:eastAsia="zh-TW"/>
        </w:rPr>
        <w:t>（公章）：</w:t>
      </w:r>
      <w:r>
        <w:rPr>
          <w:rFonts w:ascii="Times"/>
          <w:color w:val="auto"/>
          <w:sz w:val="21"/>
          <w:szCs w:val="21"/>
          <w:highlight w:val="none"/>
          <w:u w:val="single"/>
        </w:rPr>
        <w:t xml:space="preserve">                                        </w:t>
      </w:r>
    </w:p>
    <w:p w14:paraId="68BA0EC0">
      <w:pPr>
        <w:pStyle w:val="258"/>
        <w:widowControl w:val="0"/>
        <w:spacing w:before="0" w:after="0" w:line="600" w:lineRule="exact"/>
        <w:jc w:val="both"/>
        <w:rPr>
          <w:rFonts w:ascii="Times"/>
          <w:color w:val="auto"/>
          <w:sz w:val="21"/>
          <w:szCs w:val="21"/>
          <w:highlight w:val="none"/>
          <w:u w:val="single"/>
        </w:rPr>
      </w:pPr>
      <w:r>
        <w:rPr>
          <w:color w:val="auto"/>
          <w:highlight w:val="none"/>
          <w:lang w:val="zh-TW" w:eastAsia="zh-TW"/>
        </w:rPr>
        <w:t>日期：</w:t>
      </w:r>
    </w:p>
    <w:p w14:paraId="6E9DD901">
      <w:pPr>
        <w:pStyle w:val="194"/>
        <w:widowControl/>
        <w:jc w:val="center"/>
        <w:rPr>
          <w:rFonts w:hint="default" w:ascii="宋体" w:hAnsi="宋体" w:eastAsia="宋体" w:cs="宋体"/>
          <w:b/>
          <w:bCs/>
          <w:color w:val="auto"/>
          <w:sz w:val="28"/>
          <w:szCs w:val="28"/>
          <w:highlight w:val="none"/>
          <w:lang w:val="zh-TW" w:eastAsia="zh-TW"/>
        </w:rPr>
      </w:pPr>
    </w:p>
    <w:p w14:paraId="0BDE367F">
      <w:pPr>
        <w:pStyle w:val="194"/>
        <w:widowControl/>
        <w:jc w:val="center"/>
        <w:rPr>
          <w:rFonts w:hint="default" w:ascii="宋体" w:hAnsi="宋体" w:eastAsia="宋体" w:cs="宋体"/>
          <w:b/>
          <w:bCs/>
          <w:color w:val="auto"/>
          <w:sz w:val="28"/>
          <w:szCs w:val="28"/>
          <w:highlight w:val="none"/>
          <w:lang w:val="zh-TW" w:eastAsia="zh-TW"/>
        </w:rPr>
      </w:pPr>
    </w:p>
    <w:p w14:paraId="13A03E1D">
      <w:pPr>
        <w:pStyle w:val="195"/>
        <w:outlineLvl w:val="9"/>
        <w:rPr>
          <w:color w:val="auto"/>
          <w:highlight w:val="none"/>
          <w:lang w:val="zh-TW" w:eastAsia="zh-TW"/>
        </w:rPr>
      </w:pPr>
    </w:p>
    <w:p w14:paraId="15E4DB8B">
      <w:pPr>
        <w:pStyle w:val="194"/>
        <w:widowControl/>
        <w:numPr>
          <w:ilvl w:val="0"/>
          <w:numId w:val="2"/>
        </w:numPr>
        <w:jc w:val="center"/>
        <w:rPr>
          <w:rFonts w:hint="default" w:ascii="黑体" w:hAnsi="黑体" w:eastAsia="黑体" w:cs="宋体"/>
          <w:bCs/>
          <w:color w:val="auto"/>
          <w:highlight w:val="none"/>
        </w:rPr>
      </w:pPr>
      <w:r>
        <w:rPr>
          <w:rFonts w:ascii="宋体" w:hAnsi="宋体" w:eastAsia="宋体" w:cs="宋体"/>
          <w:b/>
          <w:bCs/>
          <w:color w:val="auto"/>
          <w:sz w:val="28"/>
          <w:szCs w:val="28"/>
          <w:highlight w:val="none"/>
          <w:lang w:val="zh-TW" w:eastAsia="zh-TW"/>
        </w:rPr>
        <w:t>供应</w:t>
      </w:r>
      <w:r>
        <w:rPr>
          <w:rFonts w:ascii="宋体" w:hAnsi="宋体" w:eastAsia="宋体" w:cs="宋体"/>
          <w:b/>
          <w:bCs/>
          <w:color w:val="auto"/>
          <w:sz w:val="28"/>
          <w:szCs w:val="28"/>
          <w:highlight w:val="none"/>
        </w:rPr>
        <w:t>商</w:t>
      </w:r>
      <w:r>
        <w:rPr>
          <w:rFonts w:ascii="宋体" w:hAnsi="宋体" w:eastAsia="宋体" w:cs="宋体"/>
          <w:b/>
          <w:bCs/>
          <w:color w:val="auto"/>
          <w:sz w:val="28"/>
          <w:szCs w:val="28"/>
          <w:highlight w:val="none"/>
          <w:lang w:val="zh-TW" w:eastAsia="zh-TW"/>
        </w:rPr>
        <w:t>认为需要提供的其他材料</w:t>
      </w:r>
    </w:p>
    <w:p w14:paraId="7840D2B8">
      <w:pPr>
        <w:keepNext/>
        <w:keepLines/>
        <w:numPr>
          <w:ilvl w:val="0"/>
          <w:numId w:val="2"/>
        </w:numPr>
        <w:ind w:firstLine="0"/>
        <w:jc w:val="center"/>
        <w:outlineLvl w:val="1"/>
        <w:rPr>
          <w:rFonts w:ascii="宋体" w:hAnsi="宋体"/>
          <w:color w:val="auto"/>
          <w:szCs w:val="21"/>
          <w:highlight w:val="none"/>
        </w:rPr>
      </w:pPr>
      <w:r>
        <w:rPr>
          <w:rFonts w:hint="eastAsia" w:ascii="黑体" w:hAnsi="黑体" w:eastAsia="黑体" w:cs="宋体"/>
          <w:bCs/>
          <w:color w:val="auto"/>
          <w:szCs w:val="21"/>
          <w:highlight w:val="none"/>
        </w:rPr>
        <w:t>技术部分</w:t>
      </w:r>
    </w:p>
    <w:p w14:paraId="3325765E">
      <w:pPr>
        <w:keepNext/>
        <w:keepLines/>
        <w:ind w:firstLine="0"/>
        <w:jc w:val="center"/>
        <w:outlineLvl w:val="1"/>
        <w:rPr>
          <w:rFonts w:ascii="宋体" w:hAnsi="宋体"/>
          <w:color w:val="auto"/>
          <w:szCs w:val="21"/>
          <w:highlight w:val="none"/>
        </w:rPr>
      </w:pPr>
      <w:r>
        <w:rPr>
          <w:rFonts w:hint="eastAsia" w:ascii="宋体" w:hAnsi="宋体"/>
          <w:color w:val="auto"/>
          <w:szCs w:val="21"/>
          <w:highlight w:val="none"/>
        </w:rPr>
        <w:t>（供应商根据评标办法中要求的内容进行编制）</w:t>
      </w:r>
    </w:p>
    <w:p w14:paraId="32A169C9">
      <w:pPr>
        <w:keepNext/>
        <w:keepLines/>
        <w:ind w:firstLine="1761"/>
        <w:jc w:val="center"/>
        <w:rPr>
          <w:rFonts w:ascii="黑体" w:hAnsi="黑体" w:eastAsia="黑体" w:cs="宋体"/>
          <w:bCs/>
          <w:color w:val="auto"/>
          <w:szCs w:val="21"/>
          <w:highlight w:val="none"/>
        </w:rPr>
      </w:pPr>
    </w:p>
    <w:p w14:paraId="1D66AE4B">
      <w:pPr>
        <w:keepNext/>
        <w:keepLines/>
        <w:ind w:firstLine="1761"/>
        <w:jc w:val="center"/>
        <w:rPr>
          <w:rFonts w:ascii="黑体" w:hAnsi="黑体" w:eastAsia="黑体" w:cs="宋体"/>
          <w:bCs/>
          <w:color w:val="auto"/>
          <w:szCs w:val="21"/>
          <w:highlight w:val="none"/>
        </w:rPr>
      </w:pPr>
    </w:p>
    <w:p w14:paraId="2A878AB1">
      <w:pPr>
        <w:keepNext/>
        <w:keepLines/>
        <w:ind w:firstLine="1761"/>
        <w:jc w:val="center"/>
        <w:rPr>
          <w:rFonts w:ascii="黑体" w:hAnsi="黑体" w:eastAsia="黑体" w:cs="宋体"/>
          <w:bCs/>
          <w:color w:val="auto"/>
          <w:szCs w:val="21"/>
          <w:highlight w:val="none"/>
        </w:rPr>
      </w:pPr>
    </w:p>
    <w:p w14:paraId="3C584E21">
      <w:pPr>
        <w:keepNext/>
        <w:keepLines/>
        <w:ind w:firstLine="1761"/>
        <w:jc w:val="center"/>
        <w:rPr>
          <w:rFonts w:ascii="黑体" w:hAnsi="黑体" w:eastAsia="黑体" w:cs="宋体"/>
          <w:bCs/>
          <w:color w:val="auto"/>
          <w:szCs w:val="21"/>
          <w:highlight w:val="none"/>
        </w:rPr>
      </w:pPr>
    </w:p>
    <w:p w14:paraId="094B3110">
      <w:pPr>
        <w:keepNext/>
        <w:keepLines/>
        <w:ind w:firstLine="1761"/>
        <w:jc w:val="center"/>
        <w:rPr>
          <w:rFonts w:ascii="黑体" w:hAnsi="黑体" w:eastAsia="黑体" w:cs="宋体"/>
          <w:bCs/>
          <w:color w:val="auto"/>
          <w:szCs w:val="21"/>
          <w:highlight w:val="none"/>
        </w:rPr>
      </w:pPr>
    </w:p>
    <w:p w14:paraId="7DEEA5A6">
      <w:pPr>
        <w:keepNext/>
        <w:keepLines/>
        <w:ind w:firstLine="1761"/>
        <w:jc w:val="center"/>
        <w:rPr>
          <w:rFonts w:ascii="黑体" w:hAnsi="黑体" w:eastAsia="黑体" w:cs="宋体"/>
          <w:bCs/>
          <w:color w:val="auto"/>
          <w:szCs w:val="21"/>
          <w:highlight w:val="none"/>
        </w:rPr>
      </w:pPr>
    </w:p>
    <w:p w14:paraId="063D8EB0">
      <w:pPr>
        <w:keepNext/>
        <w:keepLines/>
        <w:ind w:firstLine="1761"/>
        <w:jc w:val="center"/>
        <w:rPr>
          <w:rFonts w:ascii="黑体" w:hAnsi="黑体" w:eastAsia="黑体" w:cs="宋体"/>
          <w:bCs/>
          <w:color w:val="auto"/>
          <w:szCs w:val="21"/>
          <w:highlight w:val="none"/>
        </w:rPr>
      </w:pPr>
    </w:p>
    <w:p w14:paraId="1757728B">
      <w:pPr>
        <w:keepNext/>
        <w:keepLines/>
        <w:ind w:firstLine="1761"/>
        <w:jc w:val="center"/>
        <w:rPr>
          <w:rFonts w:ascii="黑体" w:hAnsi="黑体" w:eastAsia="黑体" w:cs="宋体"/>
          <w:bCs/>
          <w:color w:val="auto"/>
          <w:szCs w:val="21"/>
          <w:highlight w:val="none"/>
        </w:rPr>
      </w:pPr>
    </w:p>
    <w:p w14:paraId="3EAF3344">
      <w:pPr>
        <w:keepNext/>
        <w:keepLines/>
        <w:ind w:firstLine="1761"/>
        <w:jc w:val="center"/>
        <w:rPr>
          <w:rFonts w:ascii="黑体" w:hAnsi="黑体" w:eastAsia="黑体" w:cs="宋体"/>
          <w:bCs/>
          <w:color w:val="auto"/>
          <w:szCs w:val="21"/>
          <w:highlight w:val="none"/>
        </w:rPr>
      </w:pPr>
    </w:p>
    <w:p w14:paraId="33128289">
      <w:pPr>
        <w:keepNext/>
        <w:keepLines/>
        <w:ind w:firstLine="1761"/>
        <w:jc w:val="center"/>
        <w:rPr>
          <w:rFonts w:ascii="黑体" w:hAnsi="黑体" w:eastAsia="黑体" w:cs="宋体"/>
          <w:bCs/>
          <w:color w:val="auto"/>
          <w:szCs w:val="21"/>
          <w:highlight w:val="none"/>
        </w:rPr>
      </w:pPr>
    </w:p>
    <w:p w14:paraId="1F83D8CB">
      <w:pPr>
        <w:keepNext/>
        <w:keepLines/>
        <w:ind w:firstLine="1761"/>
        <w:jc w:val="center"/>
        <w:rPr>
          <w:rFonts w:ascii="黑体" w:hAnsi="黑体" w:eastAsia="黑体" w:cs="宋体"/>
          <w:bCs/>
          <w:color w:val="auto"/>
          <w:szCs w:val="21"/>
          <w:highlight w:val="none"/>
        </w:rPr>
      </w:pPr>
    </w:p>
    <w:p w14:paraId="1529DACA">
      <w:pPr>
        <w:keepNext/>
        <w:keepLines/>
        <w:ind w:firstLine="1761"/>
        <w:jc w:val="center"/>
        <w:rPr>
          <w:rFonts w:ascii="黑体" w:hAnsi="黑体" w:eastAsia="黑体" w:cs="宋体"/>
          <w:bCs/>
          <w:color w:val="auto"/>
          <w:szCs w:val="21"/>
          <w:highlight w:val="none"/>
        </w:rPr>
      </w:pPr>
    </w:p>
    <w:p w14:paraId="3ADA01C3">
      <w:pPr>
        <w:keepNext/>
        <w:keepLines/>
        <w:ind w:firstLine="1761"/>
        <w:jc w:val="center"/>
        <w:rPr>
          <w:rFonts w:ascii="黑体" w:hAnsi="黑体" w:eastAsia="黑体" w:cs="宋体"/>
          <w:bCs/>
          <w:color w:val="auto"/>
          <w:szCs w:val="21"/>
          <w:highlight w:val="none"/>
        </w:rPr>
      </w:pPr>
    </w:p>
    <w:p w14:paraId="37611EB7">
      <w:pPr>
        <w:keepNext/>
        <w:keepLines/>
        <w:ind w:firstLine="1761"/>
        <w:jc w:val="center"/>
        <w:rPr>
          <w:rFonts w:ascii="黑体" w:hAnsi="黑体" w:eastAsia="黑体" w:cs="宋体"/>
          <w:bCs/>
          <w:color w:val="auto"/>
          <w:szCs w:val="21"/>
          <w:highlight w:val="none"/>
        </w:rPr>
      </w:pPr>
    </w:p>
    <w:p w14:paraId="7CD68DA8">
      <w:pPr>
        <w:keepNext/>
        <w:keepLines/>
        <w:ind w:firstLine="1761"/>
        <w:jc w:val="center"/>
        <w:rPr>
          <w:rFonts w:ascii="黑体" w:hAnsi="黑体" w:eastAsia="黑体" w:cs="宋体"/>
          <w:bCs/>
          <w:color w:val="auto"/>
          <w:szCs w:val="21"/>
          <w:highlight w:val="none"/>
        </w:rPr>
      </w:pPr>
    </w:p>
    <w:p w14:paraId="125DF67D">
      <w:pPr>
        <w:keepNext/>
        <w:keepLines/>
        <w:ind w:firstLine="1761"/>
        <w:jc w:val="center"/>
        <w:rPr>
          <w:rFonts w:ascii="黑体" w:hAnsi="黑体" w:eastAsia="黑体" w:cs="宋体"/>
          <w:bCs/>
          <w:color w:val="auto"/>
          <w:szCs w:val="21"/>
          <w:highlight w:val="none"/>
        </w:rPr>
      </w:pPr>
    </w:p>
    <w:p w14:paraId="1BD63606">
      <w:pPr>
        <w:keepNext/>
        <w:keepLines/>
        <w:ind w:firstLine="1761"/>
        <w:jc w:val="center"/>
        <w:rPr>
          <w:rFonts w:ascii="黑体" w:hAnsi="黑体" w:eastAsia="黑体" w:cs="宋体"/>
          <w:bCs/>
          <w:color w:val="auto"/>
          <w:szCs w:val="21"/>
          <w:highlight w:val="none"/>
        </w:rPr>
      </w:pPr>
    </w:p>
    <w:p w14:paraId="08AF342A">
      <w:pPr>
        <w:keepNext/>
        <w:keepLines/>
        <w:ind w:firstLine="1761"/>
        <w:jc w:val="center"/>
        <w:rPr>
          <w:rFonts w:ascii="黑体" w:hAnsi="黑体" w:eastAsia="黑体" w:cs="宋体"/>
          <w:bCs/>
          <w:color w:val="auto"/>
          <w:szCs w:val="21"/>
          <w:highlight w:val="none"/>
        </w:rPr>
      </w:pPr>
    </w:p>
    <w:p w14:paraId="66483066">
      <w:pPr>
        <w:keepNext/>
        <w:keepLines/>
        <w:ind w:firstLine="1761"/>
        <w:jc w:val="center"/>
        <w:rPr>
          <w:rFonts w:ascii="黑体" w:hAnsi="黑体" w:eastAsia="黑体" w:cs="宋体"/>
          <w:bCs/>
          <w:color w:val="auto"/>
          <w:szCs w:val="21"/>
          <w:highlight w:val="none"/>
        </w:rPr>
      </w:pPr>
    </w:p>
    <w:p w14:paraId="45098E3B">
      <w:pPr>
        <w:keepNext/>
        <w:keepLines/>
        <w:ind w:firstLine="1761"/>
        <w:jc w:val="center"/>
        <w:rPr>
          <w:rFonts w:ascii="黑体" w:hAnsi="黑体" w:eastAsia="黑体" w:cs="宋体"/>
          <w:bCs/>
          <w:color w:val="auto"/>
          <w:szCs w:val="21"/>
          <w:highlight w:val="none"/>
        </w:rPr>
      </w:pPr>
    </w:p>
    <w:p w14:paraId="5C89502A">
      <w:pPr>
        <w:keepNext/>
        <w:keepLines/>
        <w:ind w:firstLine="1761"/>
        <w:jc w:val="center"/>
        <w:rPr>
          <w:rFonts w:ascii="黑体" w:hAnsi="黑体" w:eastAsia="黑体" w:cs="宋体"/>
          <w:bCs/>
          <w:color w:val="auto"/>
          <w:szCs w:val="21"/>
          <w:highlight w:val="none"/>
        </w:rPr>
      </w:pPr>
    </w:p>
    <w:p w14:paraId="2595C034">
      <w:pPr>
        <w:keepNext/>
        <w:keepLines/>
        <w:ind w:firstLine="1761"/>
        <w:jc w:val="center"/>
        <w:rPr>
          <w:rFonts w:ascii="黑体" w:hAnsi="黑体" w:eastAsia="黑体" w:cs="宋体"/>
          <w:bCs/>
          <w:color w:val="auto"/>
          <w:szCs w:val="21"/>
          <w:highlight w:val="none"/>
        </w:rPr>
      </w:pPr>
    </w:p>
    <w:p w14:paraId="68EA9088">
      <w:pPr>
        <w:keepNext/>
        <w:keepLines/>
        <w:ind w:firstLine="1761"/>
        <w:jc w:val="center"/>
        <w:rPr>
          <w:rFonts w:ascii="黑体" w:hAnsi="黑体" w:eastAsia="黑体" w:cs="宋体"/>
          <w:bCs/>
          <w:color w:val="auto"/>
          <w:szCs w:val="21"/>
          <w:highlight w:val="none"/>
        </w:rPr>
      </w:pPr>
    </w:p>
    <w:p w14:paraId="4E32C134">
      <w:pPr>
        <w:keepNext/>
        <w:keepLines/>
        <w:ind w:firstLine="1761"/>
        <w:jc w:val="center"/>
        <w:rPr>
          <w:rFonts w:ascii="黑体" w:hAnsi="黑体" w:eastAsia="黑体" w:cs="宋体"/>
          <w:bCs/>
          <w:color w:val="auto"/>
          <w:szCs w:val="21"/>
          <w:highlight w:val="none"/>
        </w:rPr>
      </w:pPr>
    </w:p>
    <w:p w14:paraId="6D8CFB4C">
      <w:pPr>
        <w:keepNext/>
        <w:keepLines/>
        <w:ind w:firstLine="1761"/>
        <w:jc w:val="center"/>
        <w:rPr>
          <w:rFonts w:ascii="黑体" w:hAnsi="黑体" w:eastAsia="黑体" w:cs="宋体"/>
          <w:bCs/>
          <w:color w:val="auto"/>
          <w:szCs w:val="21"/>
          <w:highlight w:val="none"/>
        </w:rPr>
      </w:pPr>
    </w:p>
    <w:p w14:paraId="1DD9AC4D">
      <w:pPr>
        <w:keepNext/>
        <w:keepLines/>
        <w:ind w:firstLine="1761"/>
        <w:rPr>
          <w:rFonts w:ascii="黑体" w:hAnsi="黑体" w:eastAsia="黑体" w:cs="宋体"/>
          <w:bCs/>
          <w:color w:val="auto"/>
          <w:szCs w:val="21"/>
          <w:highlight w:val="none"/>
        </w:rPr>
      </w:pPr>
    </w:p>
    <w:p w14:paraId="1E65667A">
      <w:pPr>
        <w:pStyle w:val="194"/>
        <w:spacing w:line="480" w:lineRule="exact"/>
        <w:rPr>
          <w:rFonts w:eastAsiaTheme="minorEastAsia"/>
          <w:color w:val="auto"/>
          <w:highlight w:val="none"/>
        </w:rPr>
      </w:pPr>
    </w:p>
    <w:p w14:paraId="7F49B5DA">
      <w:pPr>
        <w:pStyle w:val="194"/>
        <w:tabs>
          <w:tab w:val="left" w:pos="93"/>
        </w:tabs>
        <w:spacing w:line="480" w:lineRule="exact"/>
        <w:jc w:val="center"/>
        <w:rPr>
          <w:rFonts w:hint="default" w:ascii="宋体" w:hAnsi="宋体" w:eastAsia="宋体" w:cs="宋体"/>
          <w:b/>
          <w:bCs/>
          <w:color w:val="auto"/>
          <w:sz w:val="30"/>
          <w:szCs w:val="30"/>
          <w:highlight w:val="none"/>
        </w:rPr>
      </w:pPr>
      <w:r>
        <w:rPr>
          <w:rFonts w:ascii="宋体" w:hAnsi="宋体" w:eastAsia="宋体" w:cs="宋体"/>
          <w:b/>
          <w:bCs/>
          <w:color w:val="auto"/>
          <w:sz w:val="30"/>
          <w:szCs w:val="30"/>
          <w:highlight w:val="none"/>
        </w:rPr>
        <w:t>第三部分：</w:t>
      </w:r>
      <w:r>
        <w:rPr>
          <w:rFonts w:ascii="宋体" w:hAnsi="宋体" w:eastAsia="宋体" w:cs="宋体"/>
          <w:b/>
          <w:bCs/>
          <w:color w:val="auto"/>
          <w:sz w:val="30"/>
          <w:szCs w:val="30"/>
          <w:highlight w:val="none"/>
          <w:lang w:val="zh-TW" w:eastAsia="zh-TW"/>
        </w:rPr>
        <w:t>商务文件</w:t>
      </w:r>
    </w:p>
    <w:p w14:paraId="4B89A789">
      <w:pPr>
        <w:pStyle w:val="194"/>
        <w:spacing w:line="480" w:lineRule="exact"/>
        <w:rPr>
          <w:rFonts w:hint="default" w:ascii="宋体" w:hAnsi="宋体" w:eastAsia="宋体" w:cs="宋体"/>
          <w:b/>
          <w:bCs/>
          <w:color w:val="auto"/>
          <w:sz w:val="30"/>
          <w:szCs w:val="30"/>
          <w:highlight w:val="none"/>
        </w:rPr>
      </w:pPr>
    </w:p>
    <w:p w14:paraId="2C4F77E8">
      <w:pPr>
        <w:pStyle w:val="194"/>
        <w:spacing w:line="480" w:lineRule="exact"/>
        <w:jc w:val="center"/>
        <w:rPr>
          <w:rFonts w:hint="default" w:ascii="宋体" w:hAnsi="宋体" w:eastAsia="宋体" w:cs="宋体"/>
          <w:color w:val="auto"/>
          <w:sz w:val="28"/>
          <w:szCs w:val="28"/>
          <w:highlight w:val="none"/>
        </w:rPr>
      </w:pPr>
      <w:r>
        <w:rPr>
          <w:rFonts w:ascii="宋体" w:hAnsi="宋体" w:eastAsia="宋体" w:cs="宋体"/>
          <w:b/>
          <w:bCs/>
          <w:color w:val="auto"/>
          <w:sz w:val="32"/>
          <w:szCs w:val="32"/>
          <w:highlight w:val="none"/>
          <w:lang w:val="zh-TW" w:eastAsia="zh-TW"/>
        </w:rPr>
        <w:t>（一）</w:t>
      </w:r>
      <w:r>
        <w:rPr>
          <w:rFonts w:ascii="宋体" w:hAnsi="宋体" w:eastAsia="宋体" w:cs="宋体"/>
          <w:b/>
          <w:bCs/>
          <w:color w:val="auto"/>
          <w:sz w:val="28"/>
          <w:szCs w:val="28"/>
          <w:highlight w:val="none"/>
        </w:rPr>
        <w:t>供应商</w:t>
      </w:r>
      <w:r>
        <w:rPr>
          <w:rFonts w:ascii="宋体" w:hAnsi="宋体" w:eastAsia="宋体" w:cs="宋体"/>
          <w:b/>
          <w:bCs/>
          <w:color w:val="auto"/>
          <w:sz w:val="32"/>
          <w:szCs w:val="32"/>
          <w:highlight w:val="none"/>
          <w:lang w:val="zh-TW" w:eastAsia="zh-TW"/>
        </w:rPr>
        <w:t>基本情况表</w:t>
      </w:r>
    </w:p>
    <w:tbl>
      <w:tblPr>
        <w:tblStyle w:val="41"/>
        <w:tblW w:w="8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 w:type="dxa"/>
          <w:bottom w:w="0" w:type="dxa"/>
          <w:right w:w="10" w:type="dxa"/>
        </w:tblCellMar>
      </w:tblPr>
      <w:tblGrid>
        <w:gridCol w:w="1257"/>
        <w:gridCol w:w="935"/>
        <w:gridCol w:w="929"/>
        <w:gridCol w:w="1008"/>
        <w:gridCol w:w="841"/>
        <w:gridCol w:w="1134"/>
        <w:gridCol w:w="907"/>
        <w:gridCol w:w="1288"/>
      </w:tblGrid>
      <w:tr w14:paraId="10D0A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0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58649AFB">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申请人名称</w:t>
            </w:r>
          </w:p>
        </w:tc>
        <w:tc>
          <w:tcPr>
            <w:tcW w:w="7042" w:type="dxa"/>
            <w:gridSpan w:val="7"/>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76D5F4FC">
            <w:pPr>
              <w:rPr>
                <w:color w:val="auto"/>
                <w:highlight w:val="none"/>
              </w:rPr>
            </w:pPr>
          </w:p>
        </w:tc>
      </w:tr>
      <w:tr w14:paraId="2D831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48"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69F95C36">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注册地址</w:t>
            </w:r>
          </w:p>
        </w:tc>
        <w:tc>
          <w:tcPr>
            <w:tcW w:w="3713" w:type="dxa"/>
            <w:gridSpan w:val="4"/>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701D2E42">
            <w:pPr>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43F166C7">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邮编</w:t>
            </w:r>
          </w:p>
        </w:tc>
        <w:tc>
          <w:tcPr>
            <w:tcW w:w="2194"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1D3E1AE6">
            <w:pPr>
              <w:rPr>
                <w:color w:val="auto"/>
                <w:highlight w:val="none"/>
              </w:rPr>
            </w:pPr>
          </w:p>
        </w:tc>
      </w:tr>
      <w:tr w14:paraId="6A81F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48" w:hRule="atLeast"/>
          <w:jc w:val="center"/>
        </w:trPr>
        <w:tc>
          <w:tcPr>
            <w:tcW w:w="1257"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77D8BD72">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联系方式</w:t>
            </w:r>
          </w:p>
        </w:tc>
        <w:tc>
          <w:tcPr>
            <w:tcW w:w="1864"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76630976">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联系人</w:t>
            </w:r>
          </w:p>
        </w:tc>
        <w:tc>
          <w:tcPr>
            <w:tcW w:w="1848"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3B6F8EC4">
            <w:pPr>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212F42E2">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电话</w:t>
            </w:r>
          </w:p>
        </w:tc>
        <w:tc>
          <w:tcPr>
            <w:tcW w:w="2194"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5091F01F">
            <w:pPr>
              <w:rPr>
                <w:color w:val="auto"/>
                <w:highlight w:val="none"/>
              </w:rPr>
            </w:pPr>
          </w:p>
        </w:tc>
      </w:tr>
      <w:tr w14:paraId="6BFD5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793" w:hRule="atLeast"/>
          <w:jc w:val="center"/>
        </w:trPr>
        <w:tc>
          <w:tcPr>
            <w:tcW w:w="1257"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Pr>
          <w:p w14:paraId="6DF30266">
            <w:pPr>
              <w:rPr>
                <w:color w:val="auto"/>
                <w:highlight w:val="none"/>
              </w:rPr>
            </w:pPr>
          </w:p>
        </w:tc>
        <w:tc>
          <w:tcPr>
            <w:tcW w:w="1864"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67C1CB62">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传真</w:t>
            </w:r>
          </w:p>
        </w:tc>
        <w:tc>
          <w:tcPr>
            <w:tcW w:w="1848"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5C5FCAC0">
            <w:pPr>
              <w:rPr>
                <w:color w:val="auto"/>
                <w:highlight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7FE8ED33">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网址</w:t>
            </w:r>
          </w:p>
        </w:tc>
        <w:tc>
          <w:tcPr>
            <w:tcW w:w="2194"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169B6088">
            <w:pPr>
              <w:rPr>
                <w:color w:val="auto"/>
                <w:highlight w:val="none"/>
              </w:rPr>
            </w:pPr>
          </w:p>
        </w:tc>
      </w:tr>
      <w:tr w14:paraId="00ED3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48"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43535207">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组织结构</w:t>
            </w:r>
          </w:p>
        </w:tc>
        <w:tc>
          <w:tcPr>
            <w:tcW w:w="7042" w:type="dxa"/>
            <w:gridSpan w:val="7"/>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6337A495">
            <w:pPr>
              <w:rPr>
                <w:color w:val="auto"/>
                <w:highlight w:val="none"/>
              </w:rPr>
            </w:pPr>
          </w:p>
        </w:tc>
      </w:tr>
      <w:tr w14:paraId="66170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0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4E5F03A3">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法定代表人</w:t>
            </w:r>
          </w:p>
        </w:tc>
        <w:tc>
          <w:tcPr>
            <w:tcW w:w="935"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36CA7AEF">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姓名</w:t>
            </w:r>
          </w:p>
        </w:tc>
        <w:tc>
          <w:tcPr>
            <w:tcW w:w="1936"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6F0AABB7">
            <w:pPr>
              <w:rPr>
                <w:color w:val="auto"/>
                <w:highlight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60BF67C5">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职称</w:t>
            </w:r>
          </w:p>
        </w:tc>
        <w:tc>
          <w:tcPr>
            <w:tcW w:w="1134"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1F309F97">
            <w:pPr>
              <w:rPr>
                <w:color w:val="auto"/>
                <w:highlight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09C15CA5">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电话</w:t>
            </w:r>
          </w:p>
        </w:tc>
        <w:tc>
          <w:tcPr>
            <w:tcW w:w="1286"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6F9D07C4">
            <w:pPr>
              <w:rPr>
                <w:color w:val="auto"/>
                <w:highlight w:val="none"/>
              </w:rPr>
            </w:pPr>
          </w:p>
        </w:tc>
      </w:tr>
      <w:tr w14:paraId="73801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48"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3304EB99">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技术负责人</w:t>
            </w:r>
          </w:p>
        </w:tc>
        <w:tc>
          <w:tcPr>
            <w:tcW w:w="935"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7A8FB63F">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姓名</w:t>
            </w:r>
          </w:p>
        </w:tc>
        <w:tc>
          <w:tcPr>
            <w:tcW w:w="1936" w:type="dxa"/>
            <w:gridSpan w:val="2"/>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4D6F3FA3">
            <w:pPr>
              <w:rPr>
                <w:color w:val="auto"/>
                <w:highlight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65F0FA32">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职称</w:t>
            </w:r>
          </w:p>
        </w:tc>
        <w:tc>
          <w:tcPr>
            <w:tcW w:w="1134"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4E4570A4">
            <w:pPr>
              <w:rPr>
                <w:color w:val="auto"/>
                <w:highlight w:val="none"/>
              </w:rPr>
            </w:pPr>
          </w:p>
        </w:tc>
        <w:tc>
          <w:tcPr>
            <w:tcW w:w="907"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5F550525">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电话</w:t>
            </w:r>
          </w:p>
        </w:tc>
        <w:tc>
          <w:tcPr>
            <w:tcW w:w="1286"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207C0058">
            <w:pPr>
              <w:rPr>
                <w:color w:val="auto"/>
                <w:highlight w:val="none"/>
              </w:rPr>
            </w:pPr>
          </w:p>
        </w:tc>
      </w:tr>
      <w:tr w14:paraId="18128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48"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59738CC7">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成立时间</w:t>
            </w:r>
          </w:p>
        </w:tc>
        <w:tc>
          <w:tcPr>
            <w:tcW w:w="2872" w:type="dxa"/>
            <w:gridSpan w:val="3"/>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5C9EBF87">
            <w:pPr>
              <w:rPr>
                <w:color w:val="auto"/>
                <w:highlight w:val="none"/>
              </w:rPr>
            </w:pPr>
          </w:p>
        </w:tc>
        <w:tc>
          <w:tcPr>
            <w:tcW w:w="4169" w:type="dxa"/>
            <w:gridSpan w:val="4"/>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4B8E14DD">
            <w:pPr>
              <w:pStyle w:val="194"/>
              <w:spacing w:line="520" w:lineRule="exact"/>
              <w:rPr>
                <w:rFonts w:hint="default"/>
                <w:color w:val="auto"/>
                <w:highlight w:val="none"/>
              </w:rPr>
            </w:pPr>
            <w:r>
              <w:rPr>
                <w:rFonts w:ascii="宋体" w:hAnsi="宋体" w:eastAsia="宋体" w:cs="宋体"/>
                <w:color w:val="auto"/>
                <w:highlight w:val="none"/>
                <w:lang w:val="zh-TW" w:eastAsia="zh-TW"/>
              </w:rPr>
              <w:t>员工总人数：</w:t>
            </w:r>
          </w:p>
        </w:tc>
      </w:tr>
      <w:tr w14:paraId="7AD84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00"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087FC8AC">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经营范围</w:t>
            </w:r>
          </w:p>
        </w:tc>
        <w:tc>
          <w:tcPr>
            <w:tcW w:w="7042" w:type="dxa"/>
            <w:gridSpan w:val="7"/>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3E1394B6">
            <w:pPr>
              <w:rPr>
                <w:color w:val="auto"/>
                <w:highlight w:val="none"/>
              </w:rPr>
            </w:pPr>
          </w:p>
        </w:tc>
      </w:tr>
      <w:tr w14:paraId="37079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861" w:hRule="atLeast"/>
          <w:jc w:val="center"/>
        </w:trPr>
        <w:tc>
          <w:tcPr>
            <w:tcW w:w="1257" w:type="dxa"/>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6F49E601">
            <w:pPr>
              <w:pStyle w:val="194"/>
              <w:spacing w:line="520" w:lineRule="exact"/>
              <w:jc w:val="center"/>
              <w:rPr>
                <w:rFonts w:hint="default"/>
                <w:color w:val="auto"/>
                <w:highlight w:val="none"/>
              </w:rPr>
            </w:pPr>
            <w:r>
              <w:rPr>
                <w:rFonts w:ascii="宋体" w:hAnsi="宋体" w:eastAsia="宋体" w:cs="宋体"/>
                <w:color w:val="auto"/>
                <w:highlight w:val="none"/>
                <w:lang w:val="zh-TW" w:eastAsia="zh-TW"/>
              </w:rPr>
              <w:t>备注</w:t>
            </w:r>
          </w:p>
        </w:tc>
        <w:tc>
          <w:tcPr>
            <w:tcW w:w="7042" w:type="dxa"/>
            <w:gridSpan w:val="7"/>
            <w:tcBorders>
              <w:top w:val="single" w:color="000000" w:sz="4" w:space="0"/>
              <w:left w:val="single" w:color="000000" w:sz="4" w:space="0"/>
              <w:bottom w:val="single" w:color="000000" w:sz="4" w:space="0"/>
              <w:right w:val="single" w:color="000000" w:sz="4" w:space="0"/>
            </w:tcBorders>
            <w:shd w:val="clear" w:color="auto" w:fill="FFFFFF"/>
            <w:noWrap w:val="0"/>
            <w:tcMar>
              <w:top w:w="80" w:type="dxa"/>
              <w:left w:w="80" w:type="dxa"/>
              <w:bottom w:w="80" w:type="dxa"/>
              <w:right w:w="80" w:type="dxa"/>
            </w:tcMar>
            <w:vAlign w:val="center"/>
          </w:tcPr>
          <w:p w14:paraId="58C0909C">
            <w:pPr>
              <w:rPr>
                <w:color w:val="auto"/>
                <w:highlight w:val="none"/>
              </w:rPr>
            </w:pPr>
          </w:p>
        </w:tc>
      </w:tr>
    </w:tbl>
    <w:p w14:paraId="52B03EAC">
      <w:pPr>
        <w:pStyle w:val="194"/>
        <w:jc w:val="center"/>
        <w:rPr>
          <w:rFonts w:hint="default" w:ascii="宋体" w:hAnsi="宋体" w:eastAsia="宋体" w:cs="宋体"/>
          <w:color w:val="auto"/>
          <w:sz w:val="28"/>
          <w:szCs w:val="28"/>
          <w:highlight w:val="none"/>
        </w:rPr>
      </w:pPr>
    </w:p>
    <w:p w14:paraId="27795B7C">
      <w:pPr>
        <w:pStyle w:val="194"/>
        <w:spacing w:line="360" w:lineRule="auto"/>
        <w:rPr>
          <w:rFonts w:hint="default" w:ascii="宋体" w:hAnsi="宋体" w:eastAsia="宋体" w:cs="宋体"/>
          <w:color w:val="auto"/>
          <w:highlight w:val="none"/>
        </w:rPr>
      </w:pPr>
      <w:r>
        <w:rPr>
          <w:rFonts w:ascii="宋体" w:hAnsi="宋体" w:eastAsia="宋体" w:cs="宋体"/>
          <w:color w:val="auto"/>
          <w:highlight w:val="none"/>
          <w:lang w:val="zh-TW" w:eastAsia="zh-TW"/>
        </w:rPr>
        <w:t>注：投标人应将</w:t>
      </w:r>
      <w:r>
        <w:rPr>
          <w:rFonts w:ascii="宋体" w:hAnsi="宋体" w:eastAsia="宋体" w:cs="宋体"/>
          <w:color w:val="auto"/>
          <w:highlight w:val="none"/>
          <w:u w:val="single"/>
          <w:lang w:val="zh-TW" w:eastAsia="zh-TW"/>
        </w:rPr>
        <w:t>企业营业执照、开户许可证（或基本存款账户信息材料）</w:t>
      </w:r>
      <w:r>
        <w:rPr>
          <w:rFonts w:ascii="宋体" w:hAnsi="宋体" w:eastAsia="宋体" w:cs="宋体"/>
          <w:color w:val="auto"/>
          <w:highlight w:val="none"/>
          <w:lang w:val="zh-TW" w:eastAsia="zh-TW"/>
        </w:rPr>
        <w:t>等原件扫描件作为本表的附件，否则不予认可。</w:t>
      </w:r>
    </w:p>
    <w:p w14:paraId="1E09EC3C">
      <w:pPr>
        <w:pStyle w:val="194"/>
        <w:spacing w:line="480" w:lineRule="exact"/>
        <w:jc w:val="left"/>
        <w:rPr>
          <w:rFonts w:hint="default"/>
          <w:color w:val="auto"/>
          <w:highlight w:val="none"/>
        </w:rPr>
      </w:pPr>
      <w:r>
        <w:rPr>
          <w:rFonts w:ascii="宋体" w:hAnsi="宋体" w:eastAsia="宋体" w:cs="宋体"/>
          <w:b/>
          <w:bCs/>
          <w:color w:val="auto"/>
          <w:sz w:val="28"/>
          <w:szCs w:val="28"/>
          <w:highlight w:val="none"/>
        </w:rPr>
        <w:br w:type="page" w:clear="all"/>
      </w:r>
    </w:p>
    <w:p w14:paraId="66F105AB">
      <w:pPr>
        <w:pStyle w:val="194"/>
        <w:spacing w:line="480" w:lineRule="exact"/>
        <w:jc w:val="center"/>
        <w:rPr>
          <w:rFonts w:hint="default" w:ascii="宋体" w:hAnsi="宋体" w:eastAsia="宋体" w:cs="宋体"/>
          <w:b/>
          <w:bCs/>
          <w:color w:val="auto"/>
          <w:sz w:val="28"/>
          <w:szCs w:val="28"/>
          <w:highlight w:val="none"/>
        </w:rPr>
      </w:pPr>
      <w:r>
        <w:rPr>
          <w:rFonts w:ascii="宋体" w:hAnsi="宋体" w:eastAsia="宋体" w:cs="宋体"/>
          <w:b/>
          <w:bCs/>
          <w:color w:val="auto"/>
          <w:sz w:val="28"/>
          <w:szCs w:val="28"/>
          <w:highlight w:val="none"/>
          <w:lang w:val="zh-TW" w:eastAsia="zh-TW"/>
        </w:rPr>
        <w:t>（二）资格审查所需资料</w:t>
      </w:r>
    </w:p>
    <w:p w14:paraId="77324B58">
      <w:pPr>
        <w:pStyle w:val="194"/>
        <w:spacing w:line="480" w:lineRule="exact"/>
        <w:jc w:val="center"/>
        <w:rPr>
          <w:rFonts w:hint="default" w:ascii="宋体" w:hAnsi="宋体" w:eastAsia="宋体" w:cs="宋体"/>
          <w:b/>
          <w:bCs/>
          <w:color w:val="auto"/>
          <w:sz w:val="28"/>
          <w:szCs w:val="28"/>
          <w:highlight w:val="none"/>
        </w:rPr>
      </w:pPr>
    </w:p>
    <w:p w14:paraId="0E464334">
      <w:pPr>
        <w:pStyle w:val="194"/>
        <w:widowControl/>
        <w:jc w:val="center"/>
        <w:rPr>
          <w:rFonts w:hint="default" w:ascii="宋体" w:hAnsi="宋体" w:eastAsia="宋体" w:cs="宋体"/>
          <w:b/>
          <w:bCs/>
          <w:color w:val="auto"/>
          <w:sz w:val="28"/>
          <w:szCs w:val="28"/>
          <w:highlight w:val="none"/>
        </w:rPr>
      </w:pPr>
    </w:p>
    <w:p w14:paraId="39F0E6CF">
      <w:pPr>
        <w:pStyle w:val="194"/>
        <w:widowControl/>
        <w:jc w:val="center"/>
        <w:rPr>
          <w:rFonts w:hint="default" w:ascii="宋体" w:hAnsi="宋体" w:eastAsia="宋体" w:cs="宋体"/>
          <w:b/>
          <w:bCs/>
          <w:color w:val="auto"/>
          <w:sz w:val="32"/>
          <w:szCs w:val="32"/>
          <w:highlight w:val="none"/>
        </w:rPr>
      </w:pPr>
    </w:p>
    <w:p w14:paraId="237FC500">
      <w:pPr>
        <w:pStyle w:val="194"/>
        <w:widowControl/>
        <w:jc w:val="center"/>
        <w:rPr>
          <w:rFonts w:hint="default" w:ascii="宋体" w:hAnsi="宋体" w:eastAsia="宋体" w:cs="宋体"/>
          <w:b/>
          <w:bCs/>
          <w:color w:val="auto"/>
          <w:sz w:val="32"/>
          <w:szCs w:val="32"/>
          <w:highlight w:val="none"/>
        </w:rPr>
      </w:pPr>
    </w:p>
    <w:p w14:paraId="103EA182">
      <w:pPr>
        <w:pStyle w:val="194"/>
        <w:widowControl/>
        <w:jc w:val="center"/>
        <w:rPr>
          <w:rFonts w:hint="default" w:ascii="宋体" w:hAnsi="宋体" w:eastAsia="宋体" w:cs="宋体"/>
          <w:b/>
          <w:bCs/>
          <w:color w:val="auto"/>
          <w:sz w:val="32"/>
          <w:szCs w:val="32"/>
          <w:highlight w:val="none"/>
        </w:rPr>
      </w:pPr>
    </w:p>
    <w:p w14:paraId="2017415C">
      <w:pPr>
        <w:pStyle w:val="194"/>
        <w:widowControl/>
        <w:jc w:val="center"/>
        <w:rPr>
          <w:rFonts w:hint="default" w:ascii="宋体" w:hAnsi="宋体" w:eastAsia="宋体" w:cs="宋体"/>
          <w:b/>
          <w:bCs/>
          <w:color w:val="auto"/>
          <w:sz w:val="32"/>
          <w:szCs w:val="32"/>
          <w:highlight w:val="none"/>
        </w:rPr>
      </w:pPr>
    </w:p>
    <w:p w14:paraId="0791A870">
      <w:pPr>
        <w:pStyle w:val="194"/>
        <w:widowControl/>
        <w:jc w:val="center"/>
        <w:rPr>
          <w:rFonts w:hint="default" w:ascii="宋体" w:hAnsi="宋体" w:eastAsia="宋体" w:cs="宋体"/>
          <w:b/>
          <w:bCs/>
          <w:color w:val="auto"/>
          <w:sz w:val="32"/>
          <w:szCs w:val="32"/>
          <w:highlight w:val="none"/>
        </w:rPr>
      </w:pPr>
    </w:p>
    <w:p w14:paraId="1246314F">
      <w:pPr>
        <w:pStyle w:val="194"/>
        <w:widowControl/>
        <w:jc w:val="center"/>
        <w:rPr>
          <w:rFonts w:hint="default" w:ascii="宋体" w:hAnsi="宋体" w:eastAsia="宋体" w:cs="宋体"/>
          <w:b/>
          <w:bCs/>
          <w:color w:val="auto"/>
          <w:sz w:val="32"/>
          <w:szCs w:val="32"/>
          <w:highlight w:val="none"/>
        </w:rPr>
      </w:pPr>
    </w:p>
    <w:p w14:paraId="70BD6DA3">
      <w:pPr>
        <w:pStyle w:val="194"/>
        <w:widowControl/>
        <w:jc w:val="center"/>
        <w:rPr>
          <w:rFonts w:hint="default" w:ascii="宋体" w:hAnsi="宋体" w:eastAsia="宋体" w:cs="宋体"/>
          <w:b/>
          <w:bCs/>
          <w:color w:val="auto"/>
          <w:sz w:val="32"/>
          <w:szCs w:val="32"/>
          <w:highlight w:val="none"/>
        </w:rPr>
      </w:pPr>
    </w:p>
    <w:p w14:paraId="287D0CAC">
      <w:pPr>
        <w:pStyle w:val="194"/>
        <w:widowControl/>
        <w:jc w:val="center"/>
        <w:rPr>
          <w:rFonts w:hint="default" w:ascii="宋体" w:hAnsi="宋体" w:eastAsia="宋体" w:cs="宋体"/>
          <w:b/>
          <w:bCs/>
          <w:color w:val="auto"/>
          <w:sz w:val="32"/>
          <w:szCs w:val="32"/>
          <w:highlight w:val="none"/>
        </w:rPr>
      </w:pPr>
    </w:p>
    <w:p w14:paraId="00D7BA67">
      <w:pPr>
        <w:pStyle w:val="194"/>
        <w:widowControl/>
        <w:jc w:val="center"/>
        <w:rPr>
          <w:rFonts w:hint="default" w:ascii="宋体" w:hAnsi="宋体" w:eastAsia="宋体" w:cs="宋体"/>
          <w:b/>
          <w:bCs/>
          <w:color w:val="auto"/>
          <w:sz w:val="32"/>
          <w:szCs w:val="32"/>
          <w:highlight w:val="none"/>
        </w:rPr>
      </w:pPr>
    </w:p>
    <w:p w14:paraId="699C230F">
      <w:pPr>
        <w:pStyle w:val="194"/>
        <w:widowControl/>
        <w:jc w:val="center"/>
        <w:rPr>
          <w:rFonts w:hint="default" w:ascii="宋体" w:hAnsi="宋体" w:eastAsia="宋体" w:cs="宋体"/>
          <w:b/>
          <w:bCs/>
          <w:color w:val="auto"/>
          <w:sz w:val="32"/>
          <w:szCs w:val="32"/>
          <w:highlight w:val="none"/>
        </w:rPr>
      </w:pPr>
    </w:p>
    <w:p w14:paraId="0E2D86BD">
      <w:pPr>
        <w:pStyle w:val="194"/>
        <w:widowControl/>
        <w:jc w:val="center"/>
        <w:rPr>
          <w:rFonts w:hint="default" w:ascii="宋体" w:hAnsi="宋体" w:eastAsia="宋体" w:cs="宋体"/>
          <w:b/>
          <w:bCs/>
          <w:color w:val="auto"/>
          <w:sz w:val="32"/>
          <w:szCs w:val="32"/>
          <w:highlight w:val="none"/>
        </w:rPr>
      </w:pPr>
    </w:p>
    <w:p w14:paraId="62703762">
      <w:pPr>
        <w:pStyle w:val="194"/>
        <w:widowControl/>
        <w:jc w:val="center"/>
        <w:rPr>
          <w:rFonts w:hint="default" w:ascii="宋体" w:hAnsi="宋体" w:eastAsia="宋体" w:cs="宋体"/>
          <w:b/>
          <w:bCs/>
          <w:color w:val="auto"/>
          <w:sz w:val="32"/>
          <w:szCs w:val="32"/>
          <w:highlight w:val="none"/>
        </w:rPr>
      </w:pPr>
    </w:p>
    <w:p w14:paraId="410EDD69">
      <w:pPr>
        <w:pStyle w:val="194"/>
        <w:widowControl/>
        <w:jc w:val="center"/>
        <w:rPr>
          <w:rFonts w:hint="default" w:ascii="宋体" w:hAnsi="宋体" w:eastAsia="宋体" w:cs="宋体"/>
          <w:b/>
          <w:bCs/>
          <w:color w:val="auto"/>
          <w:sz w:val="32"/>
          <w:szCs w:val="32"/>
          <w:highlight w:val="none"/>
        </w:rPr>
      </w:pPr>
    </w:p>
    <w:p w14:paraId="41FF0E94">
      <w:pPr>
        <w:pStyle w:val="194"/>
        <w:widowControl/>
        <w:jc w:val="center"/>
        <w:rPr>
          <w:rFonts w:hint="default" w:ascii="宋体" w:hAnsi="宋体" w:eastAsia="宋体" w:cs="宋体"/>
          <w:b/>
          <w:bCs/>
          <w:color w:val="auto"/>
          <w:sz w:val="32"/>
          <w:szCs w:val="32"/>
          <w:highlight w:val="none"/>
        </w:rPr>
      </w:pPr>
    </w:p>
    <w:p w14:paraId="7E8448C6">
      <w:pPr>
        <w:pStyle w:val="194"/>
        <w:widowControl/>
        <w:jc w:val="center"/>
        <w:rPr>
          <w:rFonts w:hint="default" w:ascii="宋体" w:hAnsi="宋体" w:eastAsia="宋体" w:cs="宋体"/>
          <w:b/>
          <w:bCs/>
          <w:color w:val="auto"/>
          <w:sz w:val="32"/>
          <w:szCs w:val="32"/>
          <w:highlight w:val="none"/>
        </w:rPr>
      </w:pPr>
    </w:p>
    <w:p w14:paraId="0DFDFA1F">
      <w:pPr>
        <w:pStyle w:val="194"/>
        <w:widowControl/>
        <w:jc w:val="center"/>
        <w:rPr>
          <w:rFonts w:hint="default" w:ascii="宋体" w:hAnsi="宋体" w:eastAsia="宋体" w:cs="宋体"/>
          <w:b/>
          <w:bCs/>
          <w:color w:val="auto"/>
          <w:sz w:val="32"/>
          <w:szCs w:val="32"/>
          <w:highlight w:val="none"/>
        </w:rPr>
      </w:pPr>
    </w:p>
    <w:p w14:paraId="51F61F1E">
      <w:pPr>
        <w:pStyle w:val="194"/>
        <w:widowControl/>
        <w:jc w:val="center"/>
        <w:rPr>
          <w:rFonts w:hint="default" w:ascii="宋体" w:hAnsi="宋体" w:eastAsia="宋体" w:cs="宋体"/>
          <w:b/>
          <w:bCs/>
          <w:color w:val="auto"/>
          <w:sz w:val="32"/>
          <w:szCs w:val="32"/>
          <w:highlight w:val="none"/>
        </w:rPr>
      </w:pPr>
    </w:p>
    <w:p w14:paraId="6C2B2975">
      <w:pPr>
        <w:pStyle w:val="195"/>
        <w:outlineLvl w:val="9"/>
        <w:rPr>
          <w:rFonts w:ascii="宋体" w:hAnsi="宋体" w:cs="宋体"/>
          <w:b w:val="0"/>
          <w:bCs w:val="0"/>
          <w:color w:val="auto"/>
          <w:sz w:val="32"/>
          <w:szCs w:val="32"/>
          <w:highlight w:val="none"/>
        </w:rPr>
      </w:pPr>
    </w:p>
    <w:p w14:paraId="2C4163F7">
      <w:pPr>
        <w:pStyle w:val="196"/>
        <w:rPr>
          <w:rFonts w:ascii="宋体" w:hAnsi="宋体" w:cs="宋体"/>
          <w:b/>
          <w:bCs/>
          <w:color w:val="auto"/>
          <w:sz w:val="32"/>
          <w:szCs w:val="32"/>
          <w:highlight w:val="none"/>
        </w:rPr>
      </w:pPr>
    </w:p>
    <w:p w14:paraId="30E273E0">
      <w:pPr>
        <w:pStyle w:val="196"/>
        <w:rPr>
          <w:rFonts w:ascii="宋体" w:hAnsi="宋体" w:cs="宋体"/>
          <w:b/>
          <w:bCs/>
          <w:color w:val="auto"/>
          <w:sz w:val="32"/>
          <w:szCs w:val="32"/>
          <w:highlight w:val="none"/>
        </w:rPr>
      </w:pPr>
    </w:p>
    <w:p w14:paraId="54B794BA">
      <w:pPr>
        <w:pStyle w:val="196"/>
        <w:rPr>
          <w:rFonts w:ascii="宋体" w:hAnsi="宋体" w:cs="宋体"/>
          <w:b/>
          <w:bCs/>
          <w:color w:val="auto"/>
          <w:sz w:val="32"/>
          <w:szCs w:val="32"/>
          <w:highlight w:val="none"/>
        </w:rPr>
      </w:pPr>
    </w:p>
    <w:p w14:paraId="0EF5E6CD">
      <w:pPr>
        <w:pStyle w:val="196"/>
        <w:rPr>
          <w:rFonts w:ascii="宋体" w:hAnsi="宋体" w:cs="宋体"/>
          <w:b/>
          <w:bCs/>
          <w:color w:val="auto"/>
          <w:sz w:val="32"/>
          <w:szCs w:val="32"/>
          <w:highlight w:val="none"/>
        </w:rPr>
      </w:pPr>
    </w:p>
    <w:p w14:paraId="6968DF6F">
      <w:pPr>
        <w:pStyle w:val="196"/>
        <w:rPr>
          <w:rFonts w:ascii="宋体" w:hAnsi="宋体" w:cs="宋体"/>
          <w:b/>
          <w:bCs/>
          <w:color w:val="auto"/>
          <w:sz w:val="32"/>
          <w:szCs w:val="32"/>
          <w:highlight w:val="none"/>
        </w:rPr>
      </w:pPr>
    </w:p>
    <w:p w14:paraId="4A63CF43">
      <w:pPr>
        <w:pStyle w:val="196"/>
        <w:rPr>
          <w:rFonts w:ascii="宋体" w:hAnsi="宋体" w:cs="宋体"/>
          <w:b/>
          <w:bCs/>
          <w:color w:val="auto"/>
          <w:sz w:val="32"/>
          <w:szCs w:val="32"/>
          <w:highlight w:val="none"/>
        </w:rPr>
      </w:pPr>
    </w:p>
    <w:p w14:paraId="30502A3E">
      <w:pPr>
        <w:pStyle w:val="194"/>
        <w:widowControl/>
        <w:jc w:val="center"/>
        <w:rPr>
          <w:rFonts w:hint="default" w:ascii="宋体" w:hAnsi="宋体" w:eastAsia="宋体" w:cs="宋体"/>
          <w:b/>
          <w:bCs/>
          <w:color w:val="auto"/>
          <w:sz w:val="32"/>
          <w:szCs w:val="32"/>
          <w:highlight w:val="none"/>
        </w:rPr>
      </w:pPr>
    </w:p>
    <w:p w14:paraId="42E2E0A1">
      <w:pPr>
        <w:pStyle w:val="194"/>
        <w:widowControl/>
        <w:tabs>
          <w:tab w:val="left" w:pos="93"/>
        </w:tabs>
        <w:jc w:val="center"/>
        <w:rPr>
          <w:rFonts w:hint="default" w:ascii="宋体" w:hAnsi="宋体" w:eastAsia="宋体" w:cs="宋体"/>
          <w:b/>
          <w:bCs/>
          <w:color w:val="auto"/>
          <w:sz w:val="28"/>
          <w:szCs w:val="28"/>
          <w:highlight w:val="none"/>
        </w:rPr>
      </w:pPr>
    </w:p>
    <w:p w14:paraId="3D497E31">
      <w:pPr>
        <w:pStyle w:val="194"/>
        <w:widowControl/>
        <w:tabs>
          <w:tab w:val="left" w:pos="93"/>
        </w:tabs>
        <w:jc w:val="center"/>
        <w:rPr>
          <w:rFonts w:hint="default" w:ascii="宋体" w:hAnsi="宋体" w:eastAsia="宋体" w:cs="宋体"/>
          <w:b/>
          <w:bCs/>
          <w:color w:val="auto"/>
          <w:sz w:val="28"/>
          <w:szCs w:val="28"/>
          <w:highlight w:val="none"/>
        </w:rPr>
      </w:pPr>
    </w:p>
    <w:p w14:paraId="734A3D26">
      <w:pPr>
        <w:pStyle w:val="194"/>
        <w:widowControl/>
        <w:tabs>
          <w:tab w:val="left" w:pos="93"/>
        </w:tabs>
        <w:jc w:val="center"/>
        <w:rPr>
          <w:rFonts w:hint="default" w:ascii="宋体" w:hAnsi="宋体" w:eastAsia="宋体" w:cs="宋体"/>
          <w:b/>
          <w:bCs/>
          <w:color w:val="auto"/>
          <w:sz w:val="28"/>
          <w:szCs w:val="28"/>
          <w:highlight w:val="none"/>
        </w:rPr>
      </w:pPr>
    </w:p>
    <w:p w14:paraId="2DA692CC">
      <w:pPr>
        <w:pStyle w:val="194"/>
        <w:widowControl/>
        <w:tabs>
          <w:tab w:val="left" w:pos="93"/>
        </w:tabs>
        <w:jc w:val="center"/>
        <w:rPr>
          <w:rFonts w:hint="default" w:ascii="宋体" w:hAnsi="宋体" w:eastAsia="宋体" w:cs="宋体"/>
          <w:b/>
          <w:bCs/>
          <w:color w:val="auto"/>
          <w:sz w:val="28"/>
          <w:szCs w:val="28"/>
          <w:highlight w:val="none"/>
        </w:rPr>
      </w:pPr>
    </w:p>
    <w:p w14:paraId="24BFA39D">
      <w:pPr>
        <w:pStyle w:val="194"/>
        <w:widowControl/>
        <w:tabs>
          <w:tab w:val="left" w:pos="93"/>
        </w:tabs>
        <w:jc w:val="center"/>
        <w:rPr>
          <w:rFonts w:hint="default" w:ascii="Times" w:hAnsi="Times" w:eastAsia="Times" w:cs="Times"/>
          <w:b/>
          <w:bCs/>
          <w:color w:val="auto"/>
          <w:sz w:val="28"/>
          <w:szCs w:val="28"/>
          <w:highlight w:val="none"/>
        </w:rPr>
      </w:pPr>
      <w:r>
        <w:rPr>
          <w:rFonts w:ascii="宋体" w:hAnsi="宋体" w:eastAsia="宋体" w:cs="宋体"/>
          <w:b/>
          <w:bCs/>
          <w:color w:val="auto"/>
          <w:sz w:val="28"/>
          <w:szCs w:val="28"/>
          <w:highlight w:val="none"/>
        </w:rPr>
        <w:t>（三）</w:t>
      </w:r>
      <w:r>
        <w:rPr>
          <w:rFonts w:ascii="宋体" w:hAnsi="宋体" w:eastAsia="宋体" w:cs="宋体"/>
          <w:b/>
          <w:bCs/>
          <w:color w:val="auto"/>
          <w:sz w:val="28"/>
          <w:szCs w:val="28"/>
          <w:highlight w:val="none"/>
          <w:lang w:eastAsia="zh-TW"/>
        </w:rPr>
        <w:t>项目拟投入技术人员一览表</w:t>
      </w:r>
    </w:p>
    <w:p w14:paraId="07C882C2">
      <w:pPr>
        <w:pStyle w:val="564"/>
        <w:rPr>
          <w:rFonts w:hint="default"/>
          <w:color w:val="auto"/>
          <w:highlight w:val="none"/>
        </w:rPr>
      </w:pPr>
    </w:p>
    <w:tbl>
      <w:tblPr>
        <w:tblStyle w:val="41"/>
        <w:tblW w:w="8465"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 w:type="dxa"/>
          <w:bottom w:w="0" w:type="dxa"/>
          <w:right w:w="10" w:type="dxa"/>
        </w:tblCellMar>
      </w:tblPr>
      <w:tblGrid>
        <w:gridCol w:w="1470"/>
        <w:gridCol w:w="2040"/>
        <w:gridCol w:w="1269"/>
        <w:gridCol w:w="896"/>
        <w:gridCol w:w="896"/>
        <w:gridCol w:w="1894"/>
      </w:tblGrid>
      <w:tr w14:paraId="5B6C6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1089" w:hRule="atLeast"/>
        </w:trPr>
        <w:tc>
          <w:tcPr>
            <w:tcW w:w="147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EDDB15A">
            <w:pPr>
              <w:pStyle w:val="194"/>
              <w:spacing w:line="560" w:lineRule="exact"/>
              <w:jc w:val="center"/>
              <w:rPr>
                <w:rFonts w:hint="default"/>
                <w:color w:val="auto"/>
                <w:highlight w:val="none"/>
              </w:rPr>
            </w:pPr>
            <w:r>
              <w:rPr>
                <w:rFonts w:ascii="宋体" w:hAnsi="宋体" w:eastAsia="宋体" w:cs="宋体"/>
                <w:color w:val="auto"/>
                <w:highlight w:val="none"/>
                <w:lang w:val="zh-TW" w:eastAsia="zh-TW"/>
              </w:rPr>
              <w:t>姓  名</w:t>
            </w:r>
          </w:p>
        </w:tc>
        <w:tc>
          <w:tcPr>
            <w:tcW w:w="204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B27E0D8">
            <w:pPr>
              <w:pStyle w:val="194"/>
              <w:spacing w:line="560" w:lineRule="exact"/>
              <w:jc w:val="center"/>
              <w:rPr>
                <w:rFonts w:hint="default" w:ascii="宋体" w:hAnsi="宋体" w:eastAsia="宋体" w:cs="宋体"/>
                <w:color w:val="auto"/>
                <w:highlight w:val="none"/>
              </w:rPr>
            </w:pPr>
            <w:r>
              <w:rPr>
                <w:rFonts w:ascii="宋体" w:hAnsi="宋体" w:eastAsia="宋体" w:cs="宋体"/>
                <w:color w:val="auto"/>
                <w:highlight w:val="none"/>
                <w:lang w:val="zh-TW" w:eastAsia="zh-TW"/>
              </w:rPr>
              <w:t>本项目拟任</w:t>
            </w:r>
          </w:p>
          <w:p w14:paraId="23133BFC">
            <w:pPr>
              <w:pStyle w:val="194"/>
              <w:spacing w:line="560" w:lineRule="exact"/>
              <w:jc w:val="center"/>
              <w:rPr>
                <w:rFonts w:hint="default"/>
                <w:color w:val="auto"/>
                <w:highlight w:val="none"/>
              </w:rPr>
            </w:pPr>
            <w:r>
              <w:rPr>
                <w:rFonts w:ascii="宋体" w:hAnsi="宋体" w:eastAsia="宋体" w:cs="宋体"/>
                <w:color w:val="auto"/>
                <w:highlight w:val="none"/>
                <w:lang w:val="zh-TW" w:eastAsia="zh-TW"/>
              </w:rPr>
              <w:t>职  务</w:t>
            </w:r>
          </w:p>
        </w:tc>
        <w:tc>
          <w:tcPr>
            <w:tcW w:w="126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3286F19">
            <w:pPr>
              <w:pStyle w:val="194"/>
              <w:spacing w:line="560" w:lineRule="exact"/>
              <w:jc w:val="center"/>
              <w:rPr>
                <w:rFonts w:hint="default" w:ascii="宋体" w:hAnsi="宋体" w:eastAsia="宋体" w:cs="宋体"/>
                <w:color w:val="auto"/>
                <w:highlight w:val="none"/>
              </w:rPr>
            </w:pPr>
            <w:r>
              <w:rPr>
                <w:rFonts w:ascii="宋体" w:hAnsi="宋体" w:eastAsia="宋体" w:cs="宋体"/>
                <w:color w:val="auto"/>
                <w:highlight w:val="none"/>
                <w:lang w:val="zh-TW" w:eastAsia="zh-TW"/>
              </w:rPr>
              <w:t>技术</w:t>
            </w:r>
          </w:p>
          <w:p w14:paraId="0B299CEF">
            <w:pPr>
              <w:pStyle w:val="194"/>
              <w:spacing w:line="560" w:lineRule="exact"/>
              <w:jc w:val="center"/>
              <w:rPr>
                <w:rFonts w:hint="default"/>
                <w:color w:val="auto"/>
                <w:highlight w:val="none"/>
              </w:rPr>
            </w:pPr>
            <w:r>
              <w:rPr>
                <w:rFonts w:ascii="宋体" w:hAnsi="宋体" w:eastAsia="宋体" w:cs="宋体"/>
                <w:color w:val="auto"/>
                <w:highlight w:val="none"/>
                <w:lang w:val="zh-TW" w:eastAsia="zh-TW"/>
              </w:rPr>
              <w:t>职称</w:t>
            </w: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116095A">
            <w:pPr>
              <w:pStyle w:val="194"/>
              <w:spacing w:line="560" w:lineRule="exact"/>
              <w:jc w:val="center"/>
              <w:rPr>
                <w:rFonts w:hint="default"/>
                <w:color w:val="auto"/>
                <w:highlight w:val="none"/>
              </w:rPr>
            </w:pPr>
            <w:r>
              <w:rPr>
                <w:rFonts w:ascii="宋体" w:hAnsi="宋体" w:eastAsia="宋体" w:cs="宋体"/>
                <w:color w:val="auto"/>
                <w:highlight w:val="none"/>
                <w:lang w:val="zh-TW" w:eastAsia="zh-TW"/>
              </w:rPr>
              <w:t>年龄</w:t>
            </w: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14CCF35">
            <w:pPr>
              <w:pStyle w:val="194"/>
              <w:spacing w:line="560" w:lineRule="exact"/>
              <w:jc w:val="center"/>
              <w:rPr>
                <w:rFonts w:hint="default"/>
                <w:color w:val="auto"/>
                <w:highlight w:val="none"/>
              </w:rPr>
            </w:pPr>
            <w:r>
              <w:rPr>
                <w:rFonts w:ascii="宋体" w:hAnsi="宋体" w:eastAsia="宋体" w:cs="宋体"/>
                <w:color w:val="auto"/>
                <w:highlight w:val="none"/>
                <w:lang w:val="zh-TW" w:eastAsia="zh-TW"/>
              </w:rPr>
              <w:t>学历</w:t>
            </w:r>
          </w:p>
        </w:tc>
        <w:tc>
          <w:tcPr>
            <w:tcW w:w="189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AC4C0DB">
            <w:pPr>
              <w:pStyle w:val="194"/>
              <w:spacing w:line="560" w:lineRule="exact"/>
              <w:jc w:val="center"/>
              <w:rPr>
                <w:rFonts w:hint="default"/>
                <w:color w:val="auto"/>
                <w:highlight w:val="none"/>
              </w:rPr>
            </w:pPr>
            <w:r>
              <w:rPr>
                <w:rFonts w:ascii="宋体" w:hAnsi="宋体" w:eastAsia="宋体" w:cs="宋体"/>
                <w:color w:val="auto"/>
                <w:highlight w:val="none"/>
                <w:lang w:val="zh-TW" w:eastAsia="zh-TW"/>
              </w:rPr>
              <w:t>备注</w:t>
            </w:r>
          </w:p>
        </w:tc>
      </w:tr>
      <w:tr w14:paraId="68438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69" w:hRule="atLeast"/>
        </w:trPr>
        <w:tc>
          <w:tcPr>
            <w:tcW w:w="147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DBF5E48">
            <w:pPr>
              <w:rPr>
                <w:color w:val="auto"/>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667683A">
            <w:pPr>
              <w:rPr>
                <w:color w:val="auto"/>
                <w:highlight w:val="none"/>
              </w:rPr>
            </w:pPr>
          </w:p>
        </w:tc>
        <w:tc>
          <w:tcPr>
            <w:tcW w:w="126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60F3F23">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6428517">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1309FB8">
            <w:pPr>
              <w:rPr>
                <w:color w:val="auto"/>
                <w:highlight w:val="none"/>
              </w:rPr>
            </w:pPr>
          </w:p>
        </w:tc>
        <w:tc>
          <w:tcPr>
            <w:tcW w:w="189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F6FFF46">
            <w:pPr>
              <w:rPr>
                <w:color w:val="auto"/>
                <w:highlight w:val="none"/>
              </w:rPr>
            </w:pPr>
          </w:p>
        </w:tc>
      </w:tr>
      <w:tr w14:paraId="66C12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69" w:hRule="atLeast"/>
        </w:trPr>
        <w:tc>
          <w:tcPr>
            <w:tcW w:w="147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E8CAAF7">
            <w:pPr>
              <w:rPr>
                <w:color w:val="auto"/>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0367A0E">
            <w:pPr>
              <w:rPr>
                <w:color w:val="auto"/>
                <w:highlight w:val="none"/>
              </w:rPr>
            </w:pPr>
          </w:p>
        </w:tc>
        <w:tc>
          <w:tcPr>
            <w:tcW w:w="126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1BDF177">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F7B1AA2">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2120E3C">
            <w:pPr>
              <w:rPr>
                <w:color w:val="auto"/>
                <w:highlight w:val="none"/>
              </w:rPr>
            </w:pPr>
          </w:p>
        </w:tc>
        <w:tc>
          <w:tcPr>
            <w:tcW w:w="189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242DCBF">
            <w:pPr>
              <w:rPr>
                <w:color w:val="auto"/>
                <w:highlight w:val="none"/>
              </w:rPr>
            </w:pPr>
          </w:p>
        </w:tc>
      </w:tr>
      <w:tr w14:paraId="2F3D0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69" w:hRule="atLeast"/>
        </w:trPr>
        <w:tc>
          <w:tcPr>
            <w:tcW w:w="147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5135AB9">
            <w:pPr>
              <w:rPr>
                <w:color w:val="auto"/>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51EEB82">
            <w:pPr>
              <w:rPr>
                <w:color w:val="auto"/>
                <w:highlight w:val="none"/>
              </w:rPr>
            </w:pPr>
          </w:p>
        </w:tc>
        <w:tc>
          <w:tcPr>
            <w:tcW w:w="126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4CDDFD0">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C226A1B">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4921104">
            <w:pPr>
              <w:rPr>
                <w:color w:val="auto"/>
                <w:highlight w:val="none"/>
              </w:rPr>
            </w:pPr>
          </w:p>
        </w:tc>
        <w:tc>
          <w:tcPr>
            <w:tcW w:w="189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9AF946B">
            <w:pPr>
              <w:rPr>
                <w:color w:val="auto"/>
                <w:highlight w:val="none"/>
              </w:rPr>
            </w:pPr>
          </w:p>
        </w:tc>
      </w:tr>
      <w:tr w14:paraId="3AA72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69" w:hRule="atLeast"/>
        </w:trPr>
        <w:tc>
          <w:tcPr>
            <w:tcW w:w="147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E3E7253">
            <w:pPr>
              <w:rPr>
                <w:color w:val="auto"/>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91B94E4">
            <w:pPr>
              <w:rPr>
                <w:color w:val="auto"/>
                <w:highlight w:val="none"/>
              </w:rPr>
            </w:pPr>
          </w:p>
        </w:tc>
        <w:tc>
          <w:tcPr>
            <w:tcW w:w="126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5B87F4D">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011A609">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C15BB16">
            <w:pPr>
              <w:rPr>
                <w:color w:val="auto"/>
                <w:highlight w:val="none"/>
              </w:rPr>
            </w:pPr>
          </w:p>
        </w:tc>
        <w:tc>
          <w:tcPr>
            <w:tcW w:w="189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9A9CE0B">
            <w:pPr>
              <w:rPr>
                <w:color w:val="auto"/>
                <w:highlight w:val="none"/>
              </w:rPr>
            </w:pPr>
          </w:p>
        </w:tc>
      </w:tr>
      <w:tr w14:paraId="7AE8A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69" w:hRule="atLeast"/>
        </w:trPr>
        <w:tc>
          <w:tcPr>
            <w:tcW w:w="147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A4C0B5F">
            <w:pPr>
              <w:rPr>
                <w:color w:val="auto"/>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02860ED">
            <w:pPr>
              <w:rPr>
                <w:color w:val="auto"/>
                <w:highlight w:val="none"/>
              </w:rPr>
            </w:pPr>
          </w:p>
        </w:tc>
        <w:tc>
          <w:tcPr>
            <w:tcW w:w="126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226513E">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7173D36">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BEBADA9">
            <w:pPr>
              <w:rPr>
                <w:color w:val="auto"/>
                <w:highlight w:val="none"/>
              </w:rPr>
            </w:pPr>
          </w:p>
        </w:tc>
        <w:tc>
          <w:tcPr>
            <w:tcW w:w="189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AFF453F">
            <w:pPr>
              <w:rPr>
                <w:color w:val="auto"/>
                <w:highlight w:val="none"/>
              </w:rPr>
            </w:pPr>
          </w:p>
        </w:tc>
      </w:tr>
      <w:tr w14:paraId="347E9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69" w:hRule="atLeast"/>
        </w:trPr>
        <w:tc>
          <w:tcPr>
            <w:tcW w:w="147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86C17BA">
            <w:pPr>
              <w:rPr>
                <w:color w:val="auto"/>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AD9758B">
            <w:pPr>
              <w:rPr>
                <w:color w:val="auto"/>
                <w:highlight w:val="none"/>
              </w:rPr>
            </w:pPr>
          </w:p>
        </w:tc>
        <w:tc>
          <w:tcPr>
            <w:tcW w:w="126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2B51D22">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4BD07F2">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72CFC64">
            <w:pPr>
              <w:rPr>
                <w:color w:val="auto"/>
                <w:highlight w:val="none"/>
              </w:rPr>
            </w:pPr>
          </w:p>
        </w:tc>
        <w:tc>
          <w:tcPr>
            <w:tcW w:w="189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9A4B7F3">
            <w:pPr>
              <w:rPr>
                <w:color w:val="auto"/>
                <w:highlight w:val="none"/>
              </w:rPr>
            </w:pPr>
          </w:p>
        </w:tc>
      </w:tr>
      <w:tr w14:paraId="41274B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69" w:hRule="atLeast"/>
        </w:trPr>
        <w:tc>
          <w:tcPr>
            <w:tcW w:w="147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AACCC26">
            <w:pPr>
              <w:rPr>
                <w:color w:val="auto"/>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8E8940A">
            <w:pPr>
              <w:rPr>
                <w:color w:val="auto"/>
                <w:highlight w:val="none"/>
              </w:rPr>
            </w:pPr>
          </w:p>
        </w:tc>
        <w:tc>
          <w:tcPr>
            <w:tcW w:w="126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BB54211">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8C6A0C2">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74BC7DE">
            <w:pPr>
              <w:rPr>
                <w:color w:val="auto"/>
                <w:highlight w:val="none"/>
              </w:rPr>
            </w:pPr>
          </w:p>
        </w:tc>
        <w:tc>
          <w:tcPr>
            <w:tcW w:w="189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195A40E">
            <w:pPr>
              <w:rPr>
                <w:color w:val="auto"/>
                <w:highlight w:val="none"/>
              </w:rPr>
            </w:pPr>
          </w:p>
        </w:tc>
      </w:tr>
      <w:tr w14:paraId="3FFFC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69" w:hRule="atLeast"/>
        </w:trPr>
        <w:tc>
          <w:tcPr>
            <w:tcW w:w="147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53DA678">
            <w:pPr>
              <w:rPr>
                <w:color w:val="auto"/>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D2EDCC8">
            <w:pPr>
              <w:rPr>
                <w:color w:val="auto"/>
                <w:highlight w:val="none"/>
              </w:rPr>
            </w:pPr>
          </w:p>
        </w:tc>
        <w:tc>
          <w:tcPr>
            <w:tcW w:w="126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A945BA2">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F5C7817">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2DA0B71">
            <w:pPr>
              <w:rPr>
                <w:color w:val="auto"/>
                <w:highlight w:val="none"/>
              </w:rPr>
            </w:pPr>
          </w:p>
        </w:tc>
        <w:tc>
          <w:tcPr>
            <w:tcW w:w="189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B8A5BE9">
            <w:pPr>
              <w:rPr>
                <w:color w:val="auto"/>
                <w:highlight w:val="none"/>
              </w:rPr>
            </w:pPr>
          </w:p>
        </w:tc>
      </w:tr>
      <w:tr w14:paraId="2D430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69" w:hRule="atLeast"/>
        </w:trPr>
        <w:tc>
          <w:tcPr>
            <w:tcW w:w="147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904996B">
            <w:pPr>
              <w:rPr>
                <w:color w:val="auto"/>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D2BCB6B">
            <w:pPr>
              <w:rPr>
                <w:color w:val="auto"/>
                <w:highlight w:val="none"/>
              </w:rPr>
            </w:pPr>
          </w:p>
        </w:tc>
        <w:tc>
          <w:tcPr>
            <w:tcW w:w="126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44F4215">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D57A0DB">
            <w:pPr>
              <w:rPr>
                <w:color w:val="auto"/>
                <w:highlight w:val="none"/>
              </w:rPr>
            </w:pPr>
          </w:p>
        </w:tc>
        <w:tc>
          <w:tcPr>
            <w:tcW w:w="896"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D6608D1">
            <w:pPr>
              <w:rPr>
                <w:color w:val="auto"/>
                <w:highlight w:val="none"/>
              </w:rPr>
            </w:pPr>
          </w:p>
        </w:tc>
        <w:tc>
          <w:tcPr>
            <w:tcW w:w="189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A2AC527">
            <w:pPr>
              <w:rPr>
                <w:color w:val="auto"/>
                <w:highlight w:val="none"/>
              </w:rPr>
            </w:pPr>
          </w:p>
        </w:tc>
      </w:tr>
    </w:tbl>
    <w:p w14:paraId="0D33C547">
      <w:pPr>
        <w:pStyle w:val="564"/>
        <w:rPr>
          <w:rFonts w:hint="default"/>
          <w:color w:val="auto"/>
          <w:highlight w:val="none"/>
        </w:rPr>
      </w:pPr>
    </w:p>
    <w:p w14:paraId="37009B55">
      <w:pPr>
        <w:pStyle w:val="194"/>
        <w:widowControl/>
        <w:jc w:val="left"/>
        <w:rPr>
          <w:rFonts w:hint="default" w:ascii="宋体" w:hAnsi="宋体" w:eastAsia="宋体" w:cs="宋体"/>
          <w:b/>
          <w:bCs/>
          <w:color w:val="auto"/>
          <w:sz w:val="28"/>
          <w:szCs w:val="28"/>
          <w:highlight w:val="none"/>
        </w:rPr>
      </w:pPr>
      <w:r>
        <w:rPr>
          <w:rFonts w:ascii="宋体" w:hAnsi="宋体" w:eastAsia="宋体" w:cs="宋体"/>
          <w:b/>
          <w:bCs/>
          <w:color w:val="auto"/>
          <w:highlight w:val="none"/>
          <w:lang w:val="zh-TW" w:eastAsia="zh-TW"/>
        </w:rPr>
        <w:t>注：如投标人中标，本项目团队人员必须按本表承诺人员参与实际操作，未经招标人同意不得更换。</w:t>
      </w:r>
    </w:p>
    <w:p w14:paraId="021C2B05">
      <w:pPr>
        <w:pStyle w:val="194"/>
        <w:widowControl/>
        <w:jc w:val="center"/>
        <w:rPr>
          <w:rFonts w:hint="default" w:ascii="宋体" w:hAnsi="宋体" w:eastAsia="宋体" w:cs="宋体"/>
          <w:b/>
          <w:bCs/>
          <w:color w:val="auto"/>
          <w:sz w:val="28"/>
          <w:szCs w:val="28"/>
          <w:highlight w:val="none"/>
        </w:rPr>
      </w:pPr>
    </w:p>
    <w:p w14:paraId="6ECF3A99">
      <w:pPr>
        <w:pStyle w:val="194"/>
        <w:widowControl/>
        <w:jc w:val="center"/>
        <w:rPr>
          <w:rFonts w:hint="default" w:ascii="宋体" w:hAnsi="宋体" w:eastAsia="宋体" w:cs="宋体"/>
          <w:b/>
          <w:bCs/>
          <w:color w:val="auto"/>
          <w:sz w:val="28"/>
          <w:szCs w:val="28"/>
          <w:highlight w:val="none"/>
        </w:rPr>
      </w:pPr>
    </w:p>
    <w:p w14:paraId="2F609338">
      <w:pPr>
        <w:pStyle w:val="194"/>
        <w:widowControl/>
        <w:spacing w:line="360" w:lineRule="auto"/>
        <w:ind w:firstLine="350"/>
        <w:jc w:val="right"/>
        <w:rPr>
          <w:rFonts w:hint="default"/>
          <w:color w:val="auto"/>
          <w:highlight w:val="none"/>
        </w:rPr>
      </w:pPr>
      <w:r>
        <w:rPr>
          <w:color w:val="auto"/>
          <w:highlight w:val="none"/>
        </w:rPr>
        <w:t>供应商（盖章）</w:t>
      </w:r>
    </w:p>
    <w:p w14:paraId="5D2AF4C5">
      <w:pPr>
        <w:pStyle w:val="194"/>
        <w:widowControl/>
        <w:spacing w:line="360" w:lineRule="auto"/>
        <w:ind w:firstLine="350"/>
        <w:jc w:val="right"/>
        <w:rPr>
          <w:rFonts w:hint="default" w:ascii="宋体" w:hAnsi="宋体" w:eastAsia="宋体" w:cs="宋体"/>
          <w:color w:val="auto"/>
          <w:highlight w:val="none"/>
        </w:rPr>
      </w:pPr>
      <w:r>
        <w:rPr>
          <w:rFonts w:ascii="宋体" w:hAnsi="宋体" w:eastAsia="宋体" w:cs="宋体"/>
          <w:color w:val="auto"/>
          <w:highlight w:val="none"/>
          <w:lang w:val="zh-TW" w:eastAsia="zh-TW"/>
        </w:rPr>
        <w:t>法定代表人或授权代理人</w:t>
      </w:r>
      <w:r>
        <w:rPr>
          <w:rFonts w:ascii="宋体" w:hAnsi="宋体" w:eastAsia="宋体" w:cs="宋体"/>
          <w:color w:val="auto"/>
          <w:highlight w:val="none"/>
        </w:rPr>
        <w:t>签字或</w:t>
      </w:r>
      <w:r>
        <w:rPr>
          <w:rFonts w:ascii="宋体" w:hAnsi="宋体" w:eastAsia="宋体" w:cs="宋体"/>
          <w:color w:val="auto"/>
          <w:highlight w:val="none"/>
          <w:lang w:val="zh-TW" w:eastAsia="zh-TW"/>
        </w:rPr>
        <w:t>（</w:t>
      </w:r>
      <w:r>
        <w:rPr>
          <w:rFonts w:ascii="宋体" w:hAnsi="宋体" w:eastAsia="宋体" w:cs="宋体"/>
          <w:color w:val="auto"/>
          <w:highlight w:val="none"/>
        </w:rPr>
        <w:t>盖</w:t>
      </w:r>
      <w:r>
        <w:rPr>
          <w:rFonts w:ascii="宋体" w:hAnsi="宋体" w:eastAsia="宋体" w:cs="宋体"/>
          <w:color w:val="auto"/>
          <w:highlight w:val="none"/>
          <w:lang w:val="zh-TW" w:eastAsia="zh-TW"/>
        </w:rPr>
        <w:t>章）</w:t>
      </w:r>
    </w:p>
    <w:p w14:paraId="74E95E26">
      <w:pPr>
        <w:pStyle w:val="194"/>
        <w:widowControl/>
        <w:jc w:val="center"/>
        <w:rPr>
          <w:rFonts w:hint="default" w:ascii="宋体" w:hAnsi="宋体" w:eastAsia="宋体" w:cs="宋体"/>
          <w:b/>
          <w:bCs/>
          <w:color w:val="auto"/>
          <w:sz w:val="28"/>
          <w:szCs w:val="28"/>
          <w:highlight w:val="none"/>
        </w:rPr>
      </w:pPr>
      <w:r>
        <w:rPr>
          <w:rFonts w:ascii="宋体" w:hAnsi="宋体" w:eastAsia="宋体" w:cs="宋体"/>
          <w:color w:val="auto"/>
          <w:highlight w:val="none"/>
        </w:rPr>
        <w:t xml:space="preserve">                                             </w:t>
      </w:r>
      <w:r>
        <w:rPr>
          <w:rFonts w:ascii="宋体" w:hAnsi="宋体" w:eastAsia="宋体" w:cs="宋体"/>
          <w:color w:val="auto"/>
          <w:highlight w:val="none"/>
          <w:lang w:val="zh-TW" w:eastAsia="zh-TW"/>
        </w:rPr>
        <w:t>日期：      年      月      日</w:t>
      </w:r>
    </w:p>
    <w:p w14:paraId="1D489662">
      <w:pPr>
        <w:pStyle w:val="194"/>
        <w:widowControl/>
        <w:jc w:val="center"/>
        <w:rPr>
          <w:rFonts w:hint="default" w:ascii="宋体" w:hAnsi="宋体" w:eastAsia="宋体" w:cs="宋体"/>
          <w:b/>
          <w:bCs/>
          <w:color w:val="auto"/>
          <w:sz w:val="28"/>
          <w:szCs w:val="28"/>
          <w:highlight w:val="none"/>
        </w:rPr>
      </w:pPr>
    </w:p>
    <w:p w14:paraId="0CC0B6E9">
      <w:pPr>
        <w:pStyle w:val="194"/>
        <w:widowControl/>
        <w:rPr>
          <w:rFonts w:hint="default" w:ascii="宋体" w:hAnsi="宋体" w:eastAsia="宋体" w:cs="宋体"/>
          <w:b/>
          <w:bCs/>
          <w:color w:val="auto"/>
          <w:sz w:val="28"/>
          <w:szCs w:val="28"/>
          <w:highlight w:val="none"/>
        </w:rPr>
      </w:pPr>
    </w:p>
    <w:p w14:paraId="2C7FAF29">
      <w:pPr>
        <w:pStyle w:val="195"/>
        <w:outlineLvl w:val="9"/>
        <w:rPr>
          <w:color w:val="auto"/>
          <w:highlight w:val="none"/>
        </w:rPr>
      </w:pPr>
    </w:p>
    <w:p w14:paraId="3323ECCD">
      <w:pPr>
        <w:pStyle w:val="196"/>
        <w:rPr>
          <w:color w:val="auto"/>
          <w:highlight w:val="none"/>
        </w:rPr>
      </w:pPr>
    </w:p>
    <w:p w14:paraId="27F3AE2E">
      <w:pPr>
        <w:pStyle w:val="196"/>
        <w:rPr>
          <w:color w:val="auto"/>
          <w:highlight w:val="none"/>
        </w:rPr>
      </w:pPr>
    </w:p>
    <w:p w14:paraId="7CF57A57">
      <w:pPr>
        <w:pStyle w:val="194"/>
        <w:widowControl/>
        <w:jc w:val="center"/>
        <w:rPr>
          <w:rFonts w:hint="default" w:ascii="宋体" w:hAnsi="宋体" w:eastAsia="宋体" w:cs="宋体"/>
          <w:b/>
          <w:bCs/>
          <w:color w:val="auto"/>
          <w:sz w:val="28"/>
          <w:szCs w:val="28"/>
          <w:highlight w:val="none"/>
        </w:rPr>
      </w:pPr>
      <w:r>
        <w:rPr>
          <w:rFonts w:ascii="宋体" w:hAnsi="宋体" w:eastAsia="宋体" w:cs="宋体"/>
          <w:b/>
          <w:bCs/>
          <w:color w:val="auto"/>
          <w:sz w:val="28"/>
          <w:szCs w:val="28"/>
          <w:highlight w:val="none"/>
          <w:lang w:val="zh-TW" w:eastAsia="zh-TW"/>
        </w:rPr>
        <w:t>（四）企业业绩</w:t>
      </w:r>
    </w:p>
    <w:p w14:paraId="487C83FA">
      <w:pPr>
        <w:pStyle w:val="194"/>
        <w:jc w:val="center"/>
        <w:rPr>
          <w:rFonts w:hint="default" w:ascii="宋体" w:hAnsi="宋体" w:eastAsia="宋体" w:cs="宋体"/>
          <w:b/>
          <w:bCs/>
          <w:color w:val="auto"/>
          <w:sz w:val="28"/>
          <w:szCs w:val="28"/>
          <w:highlight w:val="none"/>
        </w:rPr>
      </w:pPr>
      <w:r>
        <w:rPr>
          <w:rFonts w:ascii="宋体" w:hAnsi="宋体" w:eastAsia="宋体" w:cs="宋体"/>
          <w:b/>
          <w:bCs/>
          <w:color w:val="auto"/>
          <w:sz w:val="28"/>
          <w:szCs w:val="28"/>
          <w:highlight w:val="none"/>
          <w:lang w:val="zh-TW" w:eastAsia="zh-TW"/>
        </w:rPr>
        <w:t>企业类似业绩一览表</w:t>
      </w:r>
    </w:p>
    <w:tbl>
      <w:tblPr>
        <w:tblStyle w:val="41"/>
        <w:tblW w:w="92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 w:type="dxa"/>
          <w:bottom w:w="0" w:type="dxa"/>
          <w:right w:w="10" w:type="dxa"/>
        </w:tblCellMar>
      </w:tblPr>
      <w:tblGrid>
        <w:gridCol w:w="1481"/>
        <w:gridCol w:w="2299"/>
        <w:gridCol w:w="1514"/>
        <w:gridCol w:w="1235"/>
        <w:gridCol w:w="1611"/>
        <w:gridCol w:w="1089"/>
      </w:tblGrid>
      <w:tr w14:paraId="06260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950"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4779FCD">
            <w:pPr>
              <w:pStyle w:val="59"/>
              <w:ind w:firstLine="0"/>
              <w:rPr>
                <w:color w:val="auto"/>
                <w:highlight w:val="none"/>
              </w:rPr>
            </w:pPr>
            <w:r>
              <w:rPr>
                <w:rFonts w:ascii="宋体" w:hAnsi="宋体" w:cs="宋体"/>
                <w:color w:val="auto"/>
                <w:highlight w:val="none"/>
                <w:lang w:val="zh-TW" w:eastAsia="zh-TW"/>
              </w:rPr>
              <w:t>序号</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2973802">
            <w:pPr>
              <w:pStyle w:val="59"/>
              <w:jc w:val="both"/>
              <w:rPr>
                <w:color w:val="auto"/>
                <w:highlight w:val="none"/>
              </w:rPr>
            </w:pPr>
            <w:r>
              <w:rPr>
                <w:rFonts w:ascii="宋体" w:hAnsi="宋体" w:cs="宋体"/>
                <w:color w:val="auto"/>
                <w:highlight w:val="none"/>
                <w:lang w:val="zh-TW" w:eastAsia="zh-TW"/>
              </w:rPr>
              <w:t>项目名称</w:t>
            </w: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C065443">
            <w:pPr>
              <w:pStyle w:val="59"/>
              <w:ind w:firstLine="0"/>
              <w:jc w:val="both"/>
              <w:rPr>
                <w:color w:val="auto"/>
                <w:highlight w:val="none"/>
              </w:rPr>
            </w:pPr>
            <w:r>
              <w:rPr>
                <w:rFonts w:ascii="宋体" w:hAnsi="宋体" w:cs="宋体"/>
                <w:color w:val="auto"/>
                <w:highlight w:val="none"/>
                <w:lang w:val="zh-TW" w:eastAsia="zh-TW"/>
              </w:rPr>
              <w:t>项目金额</w:t>
            </w: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C5BDE0B">
            <w:pPr>
              <w:pStyle w:val="59"/>
              <w:ind w:firstLine="0"/>
              <w:jc w:val="both"/>
              <w:rPr>
                <w:color w:val="auto"/>
                <w:highlight w:val="none"/>
              </w:rPr>
            </w:pPr>
            <w:r>
              <w:rPr>
                <w:rFonts w:ascii="宋体" w:hAnsi="宋体" w:cs="宋体"/>
                <w:color w:val="auto"/>
                <w:highlight w:val="none"/>
                <w:lang w:val="zh-TW" w:eastAsia="zh-TW"/>
              </w:rPr>
              <w:t>业主单位</w:t>
            </w: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E2C8586">
            <w:pPr>
              <w:pStyle w:val="59"/>
              <w:ind w:firstLine="0"/>
              <w:jc w:val="both"/>
              <w:rPr>
                <w:color w:val="auto"/>
                <w:highlight w:val="none"/>
              </w:rPr>
            </w:pPr>
            <w:r>
              <w:rPr>
                <w:rFonts w:ascii="宋体" w:hAnsi="宋体" w:cs="宋体"/>
                <w:color w:val="auto"/>
                <w:highlight w:val="none"/>
                <w:lang w:val="zh-TW" w:eastAsia="zh-TW"/>
              </w:rPr>
              <w:t>合同</w:t>
            </w:r>
            <w:r>
              <w:rPr>
                <w:rFonts w:ascii="宋体" w:hAnsi="宋体" w:cs="宋体"/>
                <w:color w:val="auto"/>
                <w:highlight w:val="none"/>
              </w:rPr>
              <w:t>/</w:t>
            </w:r>
            <w:r>
              <w:rPr>
                <w:rFonts w:ascii="宋体" w:hAnsi="宋体" w:cs="宋体"/>
                <w:color w:val="auto"/>
                <w:highlight w:val="none"/>
                <w:lang w:val="zh-TW" w:eastAsia="zh-TW"/>
              </w:rPr>
              <w:t>证明材料</w:t>
            </w: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1AC82B9">
            <w:pPr>
              <w:pStyle w:val="59"/>
              <w:ind w:firstLine="0"/>
              <w:jc w:val="both"/>
              <w:rPr>
                <w:color w:val="auto"/>
                <w:highlight w:val="none"/>
              </w:rPr>
            </w:pPr>
            <w:r>
              <w:rPr>
                <w:rFonts w:ascii="宋体" w:hAnsi="宋体" w:cs="宋体"/>
                <w:color w:val="auto"/>
                <w:highlight w:val="none"/>
                <w:lang w:val="zh-TW" w:eastAsia="zh-TW"/>
              </w:rPr>
              <w:t>项目时间</w:t>
            </w:r>
          </w:p>
        </w:tc>
      </w:tr>
      <w:tr w14:paraId="6D206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92"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B7E7EDD">
            <w:pPr>
              <w:pStyle w:val="59"/>
              <w:ind w:firstLine="0"/>
              <w:rPr>
                <w:color w:val="auto"/>
                <w:highlight w:val="none"/>
              </w:rPr>
            </w:pPr>
            <w:r>
              <w:rPr>
                <w:rFonts w:ascii="宋体" w:hAnsi="宋体" w:cs="宋体"/>
                <w:color w:val="auto"/>
                <w:highlight w:val="none"/>
              </w:rPr>
              <w:t>1</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7A68400">
            <w:pPr>
              <w:rPr>
                <w:color w:val="auto"/>
                <w:highlight w:val="none"/>
              </w:rPr>
            </w:pP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tcPr>
          <w:p w14:paraId="0085BDCE">
            <w:pPr>
              <w:rPr>
                <w:color w:val="auto"/>
                <w:highlight w:val="none"/>
              </w:rPr>
            </w:pP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8931A66">
            <w:pPr>
              <w:rPr>
                <w:color w:val="auto"/>
                <w:highlight w:val="none"/>
              </w:rPr>
            </w:pP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D5378D7">
            <w:pPr>
              <w:rPr>
                <w:color w:val="auto"/>
                <w:highlight w:val="none"/>
              </w:rPr>
            </w:pP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012F3F8">
            <w:pPr>
              <w:rPr>
                <w:color w:val="auto"/>
                <w:highlight w:val="none"/>
              </w:rPr>
            </w:pPr>
          </w:p>
        </w:tc>
      </w:tr>
      <w:tr w14:paraId="45CC7A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84"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8CD387F">
            <w:pPr>
              <w:pStyle w:val="59"/>
              <w:ind w:firstLine="0"/>
              <w:rPr>
                <w:color w:val="auto"/>
                <w:highlight w:val="none"/>
              </w:rPr>
            </w:pPr>
            <w:r>
              <w:rPr>
                <w:rFonts w:ascii="宋体" w:hAnsi="宋体" w:cs="宋体"/>
                <w:color w:val="auto"/>
                <w:highlight w:val="none"/>
              </w:rPr>
              <w:t>2</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32F8374">
            <w:pPr>
              <w:rPr>
                <w:color w:val="auto"/>
                <w:highlight w:val="none"/>
              </w:rPr>
            </w:pP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tcPr>
          <w:p w14:paraId="62054F02">
            <w:pPr>
              <w:rPr>
                <w:color w:val="auto"/>
                <w:highlight w:val="none"/>
              </w:rPr>
            </w:pP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F049F3A">
            <w:pPr>
              <w:rPr>
                <w:color w:val="auto"/>
                <w:highlight w:val="none"/>
              </w:rPr>
            </w:pP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BADB84B">
            <w:pPr>
              <w:rPr>
                <w:color w:val="auto"/>
                <w:highlight w:val="none"/>
              </w:rPr>
            </w:pP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7B4DBCA">
            <w:pPr>
              <w:rPr>
                <w:color w:val="auto"/>
                <w:highlight w:val="none"/>
              </w:rPr>
            </w:pPr>
          </w:p>
        </w:tc>
      </w:tr>
      <w:tr w14:paraId="7E2D0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521"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3DEE855">
            <w:pPr>
              <w:pStyle w:val="59"/>
              <w:ind w:firstLine="0"/>
              <w:rPr>
                <w:color w:val="auto"/>
                <w:highlight w:val="none"/>
              </w:rPr>
            </w:pPr>
            <w:r>
              <w:rPr>
                <w:rFonts w:ascii="宋体" w:hAnsi="宋体" w:cs="宋体"/>
                <w:color w:val="auto"/>
                <w:highlight w:val="none"/>
              </w:rPr>
              <w:t>3</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9D2DB90">
            <w:pPr>
              <w:rPr>
                <w:color w:val="auto"/>
                <w:highlight w:val="none"/>
              </w:rPr>
            </w:pP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tcPr>
          <w:p w14:paraId="5B5AC05F">
            <w:pPr>
              <w:rPr>
                <w:color w:val="auto"/>
                <w:highlight w:val="none"/>
              </w:rPr>
            </w:pP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646280F">
            <w:pPr>
              <w:rPr>
                <w:color w:val="auto"/>
                <w:highlight w:val="none"/>
              </w:rPr>
            </w:pP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8164D74">
            <w:pPr>
              <w:rPr>
                <w:color w:val="auto"/>
                <w:highlight w:val="none"/>
              </w:rPr>
            </w:pP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0E466E4">
            <w:pPr>
              <w:rPr>
                <w:color w:val="auto"/>
                <w:highlight w:val="none"/>
              </w:rPr>
            </w:pPr>
          </w:p>
        </w:tc>
      </w:tr>
      <w:tr w14:paraId="5BA8D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415"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502CBCD">
            <w:pPr>
              <w:pStyle w:val="59"/>
              <w:ind w:firstLine="0"/>
              <w:rPr>
                <w:color w:val="auto"/>
                <w:highlight w:val="none"/>
              </w:rPr>
            </w:pPr>
            <w:r>
              <w:rPr>
                <w:rFonts w:ascii="宋体" w:hAnsi="宋体" w:cs="宋体"/>
                <w:color w:val="auto"/>
                <w:highlight w:val="none"/>
              </w:rPr>
              <w:t>4</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3472387">
            <w:pPr>
              <w:rPr>
                <w:color w:val="auto"/>
                <w:highlight w:val="none"/>
              </w:rPr>
            </w:pP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tcPr>
          <w:p w14:paraId="50ED1981">
            <w:pPr>
              <w:rPr>
                <w:color w:val="auto"/>
                <w:highlight w:val="none"/>
              </w:rPr>
            </w:pP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47EE6443">
            <w:pPr>
              <w:rPr>
                <w:color w:val="auto"/>
                <w:highlight w:val="none"/>
              </w:rPr>
            </w:pP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DFAE478">
            <w:pPr>
              <w:rPr>
                <w:color w:val="auto"/>
                <w:highlight w:val="none"/>
              </w:rPr>
            </w:pP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D67CC9E">
            <w:pPr>
              <w:rPr>
                <w:color w:val="auto"/>
                <w:highlight w:val="none"/>
              </w:rPr>
            </w:pPr>
          </w:p>
        </w:tc>
      </w:tr>
      <w:tr w14:paraId="6E11F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93"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FE40449">
            <w:pPr>
              <w:pStyle w:val="59"/>
              <w:ind w:firstLine="0"/>
              <w:rPr>
                <w:color w:val="auto"/>
                <w:highlight w:val="none"/>
              </w:rPr>
            </w:pPr>
            <w:r>
              <w:rPr>
                <w:rFonts w:ascii="宋体" w:hAnsi="宋体" w:cs="宋体"/>
                <w:color w:val="auto"/>
                <w:highlight w:val="none"/>
              </w:rPr>
              <w:t>5</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BC86624">
            <w:pPr>
              <w:rPr>
                <w:color w:val="auto"/>
                <w:highlight w:val="none"/>
              </w:rPr>
            </w:pP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tcPr>
          <w:p w14:paraId="5AA84127">
            <w:pPr>
              <w:rPr>
                <w:color w:val="auto"/>
                <w:highlight w:val="none"/>
              </w:rPr>
            </w:pP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0F346D1">
            <w:pPr>
              <w:rPr>
                <w:color w:val="auto"/>
                <w:highlight w:val="none"/>
              </w:rPr>
            </w:pP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7341C48">
            <w:pPr>
              <w:rPr>
                <w:color w:val="auto"/>
                <w:highlight w:val="none"/>
              </w:rPr>
            </w:pP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B03C9CE">
            <w:pPr>
              <w:rPr>
                <w:color w:val="auto"/>
                <w:highlight w:val="none"/>
              </w:rPr>
            </w:pPr>
          </w:p>
        </w:tc>
      </w:tr>
      <w:tr w14:paraId="0E0D7B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85"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09F0090">
            <w:pPr>
              <w:pStyle w:val="59"/>
              <w:ind w:firstLine="0"/>
              <w:rPr>
                <w:color w:val="auto"/>
                <w:highlight w:val="none"/>
              </w:rPr>
            </w:pPr>
            <w:r>
              <w:rPr>
                <w:rFonts w:ascii="宋体" w:hAnsi="宋体" w:cs="宋体"/>
                <w:color w:val="auto"/>
                <w:highlight w:val="none"/>
              </w:rPr>
              <w:t>6</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B39A3B0">
            <w:pPr>
              <w:rPr>
                <w:color w:val="auto"/>
                <w:highlight w:val="none"/>
              </w:rPr>
            </w:pP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tcPr>
          <w:p w14:paraId="7CF145B7">
            <w:pPr>
              <w:rPr>
                <w:color w:val="auto"/>
                <w:highlight w:val="none"/>
              </w:rPr>
            </w:pP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B9424BE">
            <w:pPr>
              <w:rPr>
                <w:color w:val="auto"/>
                <w:highlight w:val="none"/>
              </w:rPr>
            </w:pP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5A2B7A8">
            <w:pPr>
              <w:rPr>
                <w:color w:val="auto"/>
                <w:highlight w:val="none"/>
              </w:rPr>
            </w:pP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652E0D4">
            <w:pPr>
              <w:rPr>
                <w:color w:val="auto"/>
                <w:highlight w:val="none"/>
              </w:rPr>
            </w:pPr>
          </w:p>
        </w:tc>
      </w:tr>
      <w:tr w14:paraId="6FD75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78"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FEE2518">
            <w:pPr>
              <w:pStyle w:val="59"/>
              <w:ind w:firstLine="0"/>
              <w:rPr>
                <w:color w:val="auto"/>
                <w:highlight w:val="none"/>
              </w:rPr>
            </w:pPr>
            <w:r>
              <w:rPr>
                <w:rFonts w:ascii="宋体" w:hAnsi="宋体" w:cs="宋体"/>
                <w:color w:val="auto"/>
                <w:highlight w:val="none"/>
              </w:rPr>
              <w:t>7</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05220FE">
            <w:pPr>
              <w:rPr>
                <w:color w:val="auto"/>
                <w:highlight w:val="none"/>
              </w:rPr>
            </w:pP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tcPr>
          <w:p w14:paraId="66F3BAB7">
            <w:pPr>
              <w:rPr>
                <w:color w:val="auto"/>
                <w:highlight w:val="none"/>
              </w:rPr>
            </w:pP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AB0FA62">
            <w:pPr>
              <w:rPr>
                <w:color w:val="auto"/>
                <w:highlight w:val="none"/>
              </w:rPr>
            </w:pP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60EC81A7">
            <w:pPr>
              <w:rPr>
                <w:color w:val="auto"/>
                <w:highlight w:val="none"/>
              </w:rPr>
            </w:pP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225507A">
            <w:pPr>
              <w:rPr>
                <w:color w:val="auto"/>
                <w:highlight w:val="none"/>
              </w:rPr>
            </w:pPr>
          </w:p>
        </w:tc>
      </w:tr>
      <w:tr w14:paraId="0E34E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78"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FD3F5D9">
            <w:pPr>
              <w:pStyle w:val="59"/>
              <w:ind w:firstLine="0"/>
              <w:rPr>
                <w:color w:val="auto"/>
                <w:highlight w:val="none"/>
              </w:rPr>
            </w:pPr>
            <w:r>
              <w:rPr>
                <w:rFonts w:ascii="宋体" w:hAnsi="宋体" w:cs="宋体"/>
                <w:color w:val="auto"/>
                <w:highlight w:val="none"/>
              </w:rPr>
              <w:t>8</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38BCB5D">
            <w:pPr>
              <w:rPr>
                <w:color w:val="auto"/>
                <w:highlight w:val="none"/>
              </w:rPr>
            </w:pP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tcPr>
          <w:p w14:paraId="7AFC888A">
            <w:pPr>
              <w:rPr>
                <w:color w:val="auto"/>
                <w:highlight w:val="none"/>
              </w:rPr>
            </w:pP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0E8E785">
            <w:pPr>
              <w:rPr>
                <w:color w:val="auto"/>
                <w:highlight w:val="none"/>
              </w:rPr>
            </w:pP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0FC034F">
            <w:pPr>
              <w:rPr>
                <w:color w:val="auto"/>
                <w:highlight w:val="none"/>
              </w:rPr>
            </w:pP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0450FD7">
            <w:pPr>
              <w:rPr>
                <w:color w:val="auto"/>
                <w:highlight w:val="none"/>
              </w:rPr>
            </w:pPr>
          </w:p>
        </w:tc>
      </w:tr>
      <w:tr w14:paraId="39C5E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78"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B1B0182">
            <w:pPr>
              <w:pStyle w:val="59"/>
              <w:ind w:firstLine="0"/>
              <w:rPr>
                <w:color w:val="auto"/>
                <w:highlight w:val="none"/>
              </w:rPr>
            </w:pPr>
            <w:r>
              <w:rPr>
                <w:rFonts w:ascii="宋体" w:hAnsi="宋体" w:cs="宋体"/>
                <w:color w:val="auto"/>
                <w:highlight w:val="none"/>
              </w:rPr>
              <w:t>9</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5C9190C6">
            <w:pPr>
              <w:rPr>
                <w:color w:val="auto"/>
                <w:highlight w:val="none"/>
              </w:rPr>
            </w:pP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tcPr>
          <w:p w14:paraId="1BFB7EE0">
            <w:pPr>
              <w:rPr>
                <w:color w:val="auto"/>
                <w:highlight w:val="none"/>
              </w:rPr>
            </w:pP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D643D80">
            <w:pPr>
              <w:rPr>
                <w:color w:val="auto"/>
                <w:highlight w:val="none"/>
              </w:rPr>
            </w:pP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9F88C63">
            <w:pPr>
              <w:rPr>
                <w:color w:val="auto"/>
                <w:highlight w:val="none"/>
              </w:rPr>
            </w:pP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DC77643">
            <w:pPr>
              <w:rPr>
                <w:color w:val="auto"/>
                <w:highlight w:val="none"/>
              </w:rPr>
            </w:pPr>
          </w:p>
        </w:tc>
      </w:tr>
      <w:tr w14:paraId="41EF6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 w:type="dxa"/>
            <w:bottom w:w="0" w:type="dxa"/>
            <w:right w:w="10" w:type="dxa"/>
          </w:tblCellMar>
        </w:tblPrEx>
        <w:trPr>
          <w:trHeight w:val="378" w:hRule="atLeast"/>
          <w:jc w:val="center"/>
        </w:trPr>
        <w:tc>
          <w:tcPr>
            <w:tcW w:w="148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3C7549C9">
            <w:pPr>
              <w:pStyle w:val="59"/>
              <w:ind w:firstLine="0"/>
              <w:rPr>
                <w:color w:val="auto"/>
                <w:highlight w:val="none"/>
              </w:rPr>
            </w:pPr>
            <w:r>
              <w:rPr>
                <w:rFonts w:ascii="宋体" w:hAnsi="宋体" w:cs="宋体"/>
                <w:color w:val="auto"/>
                <w:highlight w:val="none"/>
              </w:rPr>
              <w:t>10</w:t>
            </w:r>
          </w:p>
        </w:tc>
        <w:tc>
          <w:tcPr>
            <w:tcW w:w="229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29706F2D">
            <w:pPr>
              <w:rPr>
                <w:color w:val="auto"/>
                <w:highlight w:val="none"/>
              </w:rPr>
            </w:pPr>
          </w:p>
        </w:tc>
        <w:tc>
          <w:tcPr>
            <w:tcW w:w="1514"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tcPr>
          <w:p w14:paraId="28E9BFF1">
            <w:pPr>
              <w:rPr>
                <w:color w:val="auto"/>
                <w:highlight w:val="none"/>
              </w:rPr>
            </w:pPr>
          </w:p>
        </w:tc>
        <w:tc>
          <w:tcPr>
            <w:tcW w:w="1235"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715F4EB2">
            <w:pPr>
              <w:rPr>
                <w:color w:val="auto"/>
                <w:highlight w:val="none"/>
              </w:rPr>
            </w:pPr>
          </w:p>
        </w:tc>
        <w:tc>
          <w:tcPr>
            <w:tcW w:w="1611"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0ECFBF51">
            <w:pPr>
              <w:rPr>
                <w:color w:val="auto"/>
                <w:highlight w:val="none"/>
              </w:rPr>
            </w:pPr>
          </w:p>
        </w:tc>
        <w:tc>
          <w:tcPr>
            <w:tcW w:w="1089" w:type="dxa"/>
            <w:tcBorders>
              <w:top w:val="single" w:color="000000" w:sz="4" w:space="0"/>
              <w:left w:val="single" w:color="000000" w:sz="4" w:space="0"/>
              <w:bottom w:val="single" w:color="000000" w:sz="4" w:space="0"/>
              <w:right w:val="single" w:color="000000" w:sz="4" w:space="0"/>
            </w:tcBorders>
            <w:noWrap w:val="0"/>
            <w:tcMar>
              <w:top w:w="80" w:type="dxa"/>
              <w:left w:w="80" w:type="dxa"/>
              <w:bottom w:w="80" w:type="dxa"/>
              <w:right w:w="80" w:type="dxa"/>
            </w:tcMar>
            <w:vAlign w:val="center"/>
          </w:tcPr>
          <w:p w14:paraId="110B0261">
            <w:pPr>
              <w:rPr>
                <w:color w:val="auto"/>
                <w:highlight w:val="none"/>
              </w:rPr>
            </w:pPr>
          </w:p>
        </w:tc>
      </w:tr>
    </w:tbl>
    <w:p w14:paraId="27116E93">
      <w:pPr>
        <w:pStyle w:val="194"/>
        <w:jc w:val="center"/>
        <w:rPr>
          <w:rFonts w:hint="default" w:ascii="宋体" w:hAnsi="宋体" w:eastAsia="宋体" w:cs="宋体"/>
          <w:b/>
          <w:bCs/>
          <w:color w:val="auto"/>
          <w:sz w:val="28"/>
          <w:szCs w:val="28"/>
          <w:highlight w:val="none"/>
        </w:rPr>
      </w:pPr>
    </w:p>
    <w:p w14:paraId="3E6C8F15">
      <w:pPr>
        <w:pStyle w:val="194"/>
        <w:spacing w:line="360" w:lineRule="auto"/>
        <w:rPr>
          <w:rFonts w:hint="default" w:ascii="宋体" w:hAnsi="宋体" w:eastAsia="宋体" w:cs="宋体"/>
          <w:color w:val="auto"/>
          <w:highlight w:val="none"/>
        </w:rPr>
      </w:pPr>
      <w:r>
        <w:rPr>
          <w:rFonts w:ascii="宋体" w:hAnsi="宋体" w:eastAsia="宋体" w:cs="宋体"/>
          <w:color w:val="auto"/>
          <w:highlight w:val="none"/>
          <w:lang w:val="zh-TW" w:eastAsia="zh-TW"/>
        </w:rPr>
        <w:t>备注：</w:t>
      </w:r>
    </w:p>
    <w:p w14:paraId="2C8CE375">
      <w:pPr>
        <w:pStyle w:val="194"/>
        <w:spacing w:line="360" w:lineRule="auto"/>
        <w:rPr>
          <w:rFonts w:hint="default" w:ascii="宋体" w:hAnsi="宋体" w:eastAsia="宋体" w:cs="宋体"/>
          <w:color w:val="auto"/>
          <w:highlight w:val="none"/>
        </w:rPr>
      </w:pPr>
      <w:r>
        <w:rPr>
          <w:rFonts w:ascii="宋体" w:hAnsi="宋体" w:eastAsia="宋体" w:cs="宋体"/>
          <w:color w:val="auto"/>
          <w:highlight w:val="none"/>
        </w:rPr>
        <w:t>1</w:t>
      </w:r>
      <w:r>
        <w:rPr>
          <w:rFonts w:ascii="宋体" w:hAnsi="宋体" w:eastAsia="宋体" w:cs="宋体"/>
          <w:color w:val="auto"/>
          <w:highlight w:val="none"/>
          <w:lang w:val="zh-TW" w:eastAsia="zh-TW"/>
        </w:rPr>
        <w:t>、投标人根据评标方法与评标标准的要求提供，并附相关证明资料；</w:t>
      </w:r>
    </w:p>
    <w:p w14:paraId="1A60CBBA">
      <w:pPr>
        <w:pStyle w:val="194"/>
        <w:spacing w:line="360" w:lineRule="auto"/>
        <w:rPr>
          <w:rFonts w:hint="default" w:ascii="宋体" w:hAnsi="宋体" w:eastAsia="宋体" w:cs="宋体"/>
          <w:color w:val="auto"/>
          <w:highlight w:val="none"/>
        </w:rPr>
      </w:pPr>
      <w:r>
        <w:rPr>
          <w:rFonts w:ascii="宋体" w:hAnsi="宋体" w:eastAsia="宋体" w:cs="宋体"/>
          <w:color w:val="auto"/>
          <w:highlight w:val="none"/>
        </w:rPr>
        <w:t>2</w:t>
      </w:r>
      <w:r>
        <w:rPr>
          <w:rFonts w:ascii="宋体" w:hAnsi="宋体" w:eastAsia="宋体" w:cs="宋体"/>
          <w:color w:val="auto"/>
          <w:highlight w:val="none"/>
          <w:lang w:val="zh-TW" w:eastAsia="zh-TW"/>
        </w:rPr>
        <w:t>、行数不够，自行添加。</w:t>
      </w:r>
    </w:p>
    <w:p w14:paraId="609B7F11">
      <w:pPr>
        <w:pStyle w:val="194"/>
        <w:widowControl/>
        <w:jc w:val="center"/>
        <w:rPr>
          <w:rFonts w:hint="default" w:ascii="宋体" w:hAnsi="宋体" w:eastAsia="宋体" w:cs="宋体"/>
          <w:b/>
          <w:bCs/>
          <w:color w:val="auto"/>
          <w:sz w:val="28"/>
          <w:szCs w:val="28"/>
          <w:highlight w:val="none"/>
        </w:rPr>
      </w:pPr>
    </w:p>
    <w:p w14:paraId="0A3BFC3F">
      <w:pPr>
        <w:pStyle w:val="194"/>
        <w:widowControl/>
        <w:spacing w:line="360" w:lineRule="auto"/>
        <w:ind w:firstLine="4410"/>
        <w:jc w:val="left"/>
        <w:rPr>
          <w:rFonts w:hint="default"/>
          <w:color w:val="auto"/>
          <w:highlight w:val="none"/>
        </w:rPr>
      </w:pPr>
      <w:r>
        <w:rPr>
          <w:color w:val="auto"/>
          <w:highlight w:val="none"/>
        </w:rPr>
        <w:t>供应商（盖章）</w:t>
      </w:r>
    </w:p>
    <w:p w14:paraId="66311644">
      <w:pPr>
        <w:pStyle w:val="194"/>
        <w:widowControl/>
        <w:spacing w:line="360" w:lineRule="auto"/>
        <w:ind w:firstLine="4410"/>
        <w:jc w:val="left"/>
        <w:rPr>
          <w:rFonts w:hint="default" w:ascii="宋体" w:hAnsi="宋体" w:eastAsia="宋体" w:cs="宋体"/>
          <w:color w:val="auto"/>
          <w:highlight w:val="none"/>
        </w:rPr>
      </w:pPr>
      <w:r>
        <w:rPr>
          <w:rFonts w:ascii="宋体" w:hAnsi="宋体" w:eastAsia="宋体" w:cs="宋体"/>
          <w:color w:val="auto"/>
          <w:highlight w:val="none"/>
          <w:lang w:val="zh-TW" w:eastAsia="zh-TW"/>
        </w:rPr>
        <w:t>法定代表人或授权代理人</w:t>
      </w:r>
      <w:r>
        <w:rPr>
          <w:rFonts w:ascii="宋体" w:hAnsi="宋体" w:eastAsia="宋体" w:cs="宋体"/>
          <w:color w:val="auto"/>
          <w:highlight w:val="none"/>
        </w:rPr>
        <w:t>签字或</w:t>
      </w:r>
      <w:r>
        <w:rPr>
          <w:rFonts w:ascii="宋体" w:hAnsi="宋体" w:eastAsia="宋体" w:cs="宋体"/>
          <w:color w:val="auto"/>
          <w:highlight w:val="none"/>
          <w:lang w:val="zh-TW" w:eastAsia="zh-TW"/>
        </w:rPr>
        <w:t>（</w:t>
      </w:r>
      <w:r>
        <w:rPr>
          <w:rFonts w:ascii="宋体" w:hAnsi="宋体" w:eastAsia="宋体" w:cs="宋体"/>
          <w:color w:val="auto"/>
          <w:highlight w:val="none"/>
        </w:rPr>
        <w:t>盖</w:t>
      </w:r>
      <w:r>
        <w:rPr>
          <w:rFonts w:ascii="宋体" w:hAnsi="宋体" w:eastAsia="宋体" w:cs="宋体"/>
          <w:color w:val="auto"/>
          <w:highlight w:val="none"/>
          <w:lang w:val="zh-TW" w:eastAsia="zh-TW"/>
        </w:rPr>
        <w:t>章）</w:t>
      </w:r>
    </w:p>
    <w:p w14:paraId="2F2C037A">
      <w:pPr>
        <w:pStyle w:val="194"/>
        <w:widowControl/>
        <w:jc w:val="left"/>
        <w:rPr>
          <w:rFonts w:hint="default" w:ascii="宋体" w:hAnsi="宋体" w:eastAsia="宋体" w:cs="宋体"/>
          <w:b/>
          <w:bCs/>
          <w:color w:val="auto"/>
          <w:sz w:val="28"/>
          <w:szCs w:val="28"/>
          <w:highlight w:val="none"/>
        </w:rPr>
      </w:pPr>
      <w:r>
        <w:rPr>
          <w:rFonts w:ascii="宋体" w:hAnsi="宋体" w:eastAsia="宋体" w:cs="宋体"/>
          <w:color w:val="auto"/>
          <w:highlight w:val="none"/>
        </w:rPr>
        <w:t xml:space="preserve">                                          </w:t>
      </w:r>
      <w:r>
        <w:rPr>
          <w:rFonts w:ascii="宋体" w:hAnsi="宋体" w:eastAsia="宋体" w:cs="宋体"/>
          <w:color w:val="auto"/>
          <w:highlight w:val="none"/>
          <w:lang w:val="zh-TW" w:eastAsia="zh-TW"/>
        </w:rPr>
        <w:t>日期：      年      月      日</w:t>
      </w:r>
    </w:p>
    <w:p w14:paraId="5ED6E823">
      <w:pPr>
        <w:pStyle w:val="194"/>
        <w:widowControl/>
        <w:spacing w:line="360" w:lineRule="auto"/>
        <w:ind w:firstLine="350"/>
        <w:jc w:val="right"/>
        <w:rPr>
          <w:rFonts w:hint="default" w:ascii="宋体" w:hAnsi="宋体" w:eastAsia="宋体" w:cs="宋体"/>
          <w:color w:val="auto"/>
          <w:highlight w:val="none"/>
        </w:rPr>
      </w:pPr>
    </w:p>
    <w:p w14:paraId="098890BA">
      <w:pPr>
        <w:pStyle w:val="194"/>
        <w:spacing w:line="480" w:lineRule="exact"/>
        <w:rPr>
          <w:rFonts w:hint="default" w:ascii="宋体" w:hAnsi="宋体" w:eastAsia="宋体" w:cs="宋体"/>
          <w:color w:val="auto"/>
          <w:highlight w:val="none"/>
        </w:rPr>
      </w:pPr>
    </w:p>
    <w:p w14:paraId="445F0991">
      <w:pPr>
        <w:pStyle w:val="194"/>
        <w:widowControl/>
        <w:jc w:val="center"/>
        <w:rPr>
          <w:rFonts w:hint="default"/>
          <w:color w:val="auto"/>
          <w:highlight w:val="none"/>
        </w:rPr>
      </w:pPr>
      <w:r>
        <w:rPr>
          <w:rFonts w:ascii="宋体" w:hAnsi="宋体" w:eastAsia="宋体" w:cs="宋体"/>
          <w:b/>
          <w:bCs/>
          <w:color w:val="auto"/>
          <w:sz w:val="28"/>
          <w:szCs w:val="28"/>
          <w:highlight w:val="none"/>
        </w:rPr>
        <w:br w:type="page" w:clear="all"/>
      </w:r>
    </w:p>
    <w:p w14:paraId="3EE4ED86">
      <w:pPr>
        <w:spacing w:line="460" w:lineRule="exact"/>
        <w:ind w:firstLine="0"/>
        <w:jc w:val="center"/>
        <w:rPr>
          <w:rFonts w:ascii="宋体" w:hAnsi="宋体"/>
          <w:color w:val="auto"/>
          <w:szCs w:val="21"/>
          <w:highlight w:val="none"/>
        </w:rPr>
      </w:pPr>
      <w:r>
        <w:rPr>
          <w:rFonts w:hint="eastAsia" w:ascii="黑体" w:hAnsi="黑体" w:eastAsia="黑体" w:cs="宋体"/>
          <w:bCs/>
          <w:color w:val="auto"/>
          <w:szCs w:val="21"/>
          <w:highlight w:val="none"/>
        </w:rPr>
        <w:t>项目需求响应</w:t>
      </w:r>
    </w:p>
    <w:p w14:paraId="542EEC9A">
      <w:pPr>
        <w:pStyle w:val="194"/>
        <w:widowControl/>
        <w:jc w:val="center"/>
        <w:rPr>
          <w:rFonts w:hint="default" w:ascii="宋体" w:hAnsi="宋体"/>
          <w:color w:val="auto"/>
          <w:highlight w:val="none"/>
        </w:rPr>
      </w:pPr>
      <w:r>
        <w:rPr>
          <w:rFonts w:ascii="宋体" w:hAnsi="宋体"/>
          <w:color w:val="auto"/>
          <w:highlight w:val="none"/>
        </w:rPr>
        <w:t>（供应商按“项目需求”内容要求填写）</w:t>
      </w:r>
    </w:p>
    <w:p w14:paraId="6CAD478A">
      <w:pPr>
        <w:pStyle w:val="194"/>
        <w:widowControl/>
        <w:jc w:val="center"/>
        <w:rPr>
          <w:rFonts w:hint="default" w:ascii="宋体" w:hAnsi="宋体"/>
          <w:color w:val="auto"/>
          <w:highlight w:val="none"/>
        </w:rPr>
      </w:pPr>
    </w:p>
    <w:p w14:paraId="0DF3D2CE">
      <w:pPr>
        <w:pStyle w:val="194"/>
        <w:widowControl/>
        <w:jc w:val="center"/>
        <w:rPr>
          <w:rFonts w:hint="default" w:ascii="宋体" w:hAnsi="宋体"/>
          <w:color w:val="auto"/>
          <w:highlight w:val="none"/>
        </w:rPr>
      </w:pPr>
    </w:p>
    <w:p w14:paraId="2DD1630B">
      <w:pPr>
        <w:pStyle w:val="194"/>
        <w:widowControl/>
        <w:jc w:val="center"/>
        <w:rPr>
          <w:rFonts w:hint="default" w:ascii="宋体" w:hAnsi="宋体"/>
          <w:color w:val="auto"/>
          <w:highlight w:val="none"/>
        </w:rPr>
      </w:pPr>
    </w:p>
    <w:p w14:paraId="36C73B05">
      <w:pPr>
        <w:pStyle w:val="194"/>
        <w:widowControl/>
        <w:jc w:val="center"/>
        <w:rPr>
          <w:rFonts w:hint="default" w:ascii="宋体" w:hAnsi="宋体"/>
          <w:color w:val="auto"/>
          <w:highlight w:val="none"/>
        </w:rPr>
      </w:pPr>
    </w:p>
    <w:p w14:paraId="5E3C5F40">
      <w:pPr>
        <w:pStyle w:val="194"/>
        <w:widowControl/>
        <w:jc w:val="center"/>
        <w:rPr>
          <w:rFonts w:hint="default" w:ascii="宋体" w:hAnsi="宋体"/>
          <w:color w:val="auto"/>
          <w:highlight w:val="none"/>
        </w:rPr>
      </w:pPr>
    </w:p>
    <w:p w14:paraId="691A3F1D">
      <w:pPr>
        <w:pStyle w:val="194"/>
        <w:widowControl/>
        <w:jc w:val="center"/>
        <w:rPr>
          <w:rFonts w:hint="default" w:ascii="宋体" w:hAnsi="宋体"/>
          <w:color w:val="auto"/>
          <w:highlight w:val="none"/>
        </w:rPr>
      </w:pPr>
    </w:p>
    <w:p w14:paraId="6EAD9AE6">
      <w:pPr>
        <w:pStyle w:val="194"/>
        <w:widowControl/>
        <w:jc w:val="center"/>
        <w:rPr>
          <w:rFonts w:hint="default" w:ascii="宋体" w:hAnsi="宋体"/>
          <w:color w:val="auto"/>
          <w:highlight w:val="none"/>
        </w:rPr>
      </w:pPr>
    </w:p>
    <w:p w14:paraId="4B99C23A">
      <w:pPr>
        <w:pStyle w:val="194"/>
        <w:widowControl/>
        <w:jc w:val="center"/>
        <w:rPr>
          <w:rFonts w:hint="default" w:ascii="宋体" w:hAnsi="宋体"/>
          <w:color w:val="auto"/>
          <w:highlight w:val="none"/>
        </w:rPr>
      </w:pPr>
    </w:p>
    <w:p w14:paraId="0B1EA7F2">
      <w:pPr>
        <w:pStyle w:val="194"/>
        <w:widowControl/>
        <w:jc w:val="center"/>
        <w:rPr>
          <w:rFonts w:hint="default" w:ascii="宋体" w:hAnsi="宋体"/>
          <w:color w:val="auto"/>
          <w:highlight w:val="none"/>
        </w:rPr>
      </w:pPr>
    </w:p>
    <w:p w14:paraId="03BC32C5">
      <w:pPr>
        <w:pStyle w:val="194"/>
        <w:widowControl/>
        <w:jc w:val="center"/>
        <w:rPr>
          <w:rFonts w:hint="default" w:ascii="宋体" w:hAnsi="宋体"/>
          <w:color w:val="auto"/>
          <w:highlight w:val="none"/>
        </w:rPr>
      </w:pPr>
    </w:p>
    <w:p w14:paraId="566FAF40">
      <w:pPr>
        <w:pStyle w:val="194"/>
        <w:widowControl/>
        <w:jc w:val="center"/>
        <w:rPr>
          <w:rFonts w:hint="default" w:ascii="宋体" w:hAnsi="宋体"/>
          <w:color w:val="auto"/>
          <w:highlight w:val="none"/>
        </w:rPr>
      </w:pPr>
    </w:p>
    <w:p w14:paraId="1EB09548">
      <w:pPr>
        <w:pStyle w:val="194"/>
        <w:widowControl/>
        <w:jc w:val="center"/>
        <w:rPr>
          <w:rFonts w:hint="default" w:ascii="宋体" w:hAnsi="宋体"/>
          <w:color w:val="auto"/>
          <w:highlight w:val="none"/>
        </w:rPr>
      </w:pPr>
    </w:p>
    <w:p w14:paraId="381122E4">
      <w:pPr>
        <w:pStyle w:val="194"/>
        <w:widowControl/>
        <w:jc w:val="center"/>
        <w:rPr>
          <w:rFonts w:hint="default" w:ascii="宋体" w:hAnsi="宋体"/>
          <w:color w:val="auto"/>
          <w:highlight w:val="none"/>
        </w:rPr>
      </w:pPr>
    </w:p>
    <w:p w14:paraId="160D36CC">
      <w:pPr>
        <w:pStyle w:val="194"/>
        <w:widowControl/>
        <w:jc w:val="center"/>
        <w:rPr>
          <w:rFonts w:hint="default" w:ascii="宋体" w:hAnsi="宋体"/>
          <w:color w:val="auto"/>
          <w:highlight w:val="none"/>
        </w:rPr>
      </w:pPr>
    </w:p>
    <w:p w14:paraId="2D5A873B">
      <w:pPr>
        <w:pStyle w:val="194"/>
        <w:widowControl/>
        <w:jc w:val="center"/>
        <w:rPr>
          <w:rFonts w:hint="default" w:ascii="宋体" w:hAnsi="宋体"/>
          <w:color w:val="auto"/>
          <w:highlight w:val="none"/>
        </w:rPr>
      </w:pPr>
    </w:p>
    <w:p w14:paraId="054B5E12">
      <w:pPr>
        <w:pStyle w:val="194"/>
        <w:widowControl/>
        <w:jc w:val="center"/>
        <w:rPr>
          <w:rFonts w:hint="default" w:ascii="宋体" w:hAnsi="宋体"/>
          <w:color w:val="auto"/>
          <w:highlight w:val="none"/>
        </w:rPr>
      </w:pPr>
    </w:p>
    <w:p w14:paraId="547206DA">
      <w:pPr>
        <w:pStyle w:val="194"/>
        <w:widowControl/>
        <w:jc w:val="center"/>
        <w:rPr>
          <w:rFonts w:hint="default" w:ascii="宋体" w:hAnsi="宋体"/>
          <w:color w:val="auto"/>
          <w:highlight w:val="none"/>
        </w:rPr>
      </w:pPr>
    </w:p>
    <w:p w14:paraId="6CE1F8A2">
      <w:pPr>
        <w:pStyle w:val="194"/>
        <w:widowControl/>
        <w:jc w:val="center"/>
        <w:rPr>
          <w:rFonts w:hint="default" w:ascii="宋体" w:hAnsi="宋体"/>
          <w:color w:val="auto"/>
          <w:highlight w:val="none"/>
        </w:rPr>
      </w:pPr>
    </w:p>
    <w:p w14:paraId="1480E6B2">
      <w:pPr>
        <w:rPr>
          <w:rFonts w:ascii="宋体" w:hAnsi="宋体"/>
          <w:color w:val="auto"/>
          <w:szCs w:val="21"/>
          <w:highlight w:val="none"/>
        </w:rPr>
      </w:pPr>
    </w:p>
    <w:p w14:paraId="6ACD6607">
      <w:pPr>
        <w:jc w:val="center"/>
        <w:rPr>
          <w:rFonts w:ascii="宋体" w:hAnsi="宋体"/>
          <w:bCs/>
          <w:color w:val="auto"/>
          <w:szCs w:val="21"/>
          <w:highlight w:val="none"/>
        </w:rPr>
      </w:pPr>
      <w:r>
        <w:rPr>
          <w:rFonts w:hint="eastAsia" w:ascii="宋体" w:hAnsi="宋体"/>
          <w:bCs/>
          <w:color w:val="auto"/>
          <w:szCs w:val="21"/>
          <w:highlight w:val="none"/>
        </w:rPr>
        <w:t xml:space="preserve">        磋商供应商（盖章）：</w:t>
      </w:r>
    </w:p>
    <w:p w14:paraId="642479CF">
      <w:pPr>
        <w:jc w:val="right"/>
        <w:rPr>
          <w:rFonts w:ascii="宋体" w:hAnsi="宋体"/>
          <w:bCs/>
          <w:color w:val="auto"/>
          <w:szCs w:val="21"/>
          <w:highlight w:val="none"/>
        </w:rPr>
      </w:pPr>
      <w:r>
        <w:rPr>
          <w:rFonts w:hint="eastAsia" w:ascii="宋体" w:hAnsi="宋体"/>
          <w:bCs/>
          <w:color w:val="auto"/>
          <w:szCs w:val="21"/>
          <w:highlight w:val="none"/>
        </w:rPr>
        <w:t xml:space="preserve">  法定代表人或委托代理人（签字或盖章）：</w:t>
      </w:r>
    </w:p>
    <w:p w14:paraId="10018280">
      <w:pPr>
        <w:ind w:firstLine="840"/>
        <w:jc w:val="center"/>
        <w:rPr>
          <w:rFonts w:ascii="宋体" w:hAnsi="宋体"/>
          <w:bCs/>
          <w:color w:val="auto"/>
          <w:szCs w:val="21"/>
          <w:highlight w:val="none"/>
        </w:rPr>
      </w:pPr>
      <w:r>
        <w:rPr>
          <w:rFonts w:hint="eastAsia" w:ascii="宋体" w:hAnsi="宋体"/>
          <w:bCs/>
          <w:color w:val="auto"/>
          <w:szCs w:val="21"/>
          <w:highlight w:val="none"/>
        </w:rPr>
        <w:t xml:space="preserve">   年     月     日</w:t>
      </w:r>
    </w:p>
    <w:p w14:paraId="082098F6">
      <w:pPr>
        <w:pStyle w:val="194"/>
        <w:widowControl/>
        <w:jc w:val="center"/>
        <w:rPr>
          <w:rFonts w:hint="default" w:ascii="宋体" w:hAnsi="宋体"/>
          <w:color w:val="auto"/>
          <w:highlight w:val="none"/>
        </w:rPr>
      </w:pPr>
    </w:p>
    <w:p w14:paraId="3E9BF58F">
      <w:pPr>
        <w:pStyle w:val="194"/>
        <w:widowControl/>
        <w:jc w:val="center"/>
        <w:rPr>
          <w:rFonts w:hint="default" w:ascii="宋体" w:hAnsi="宋体"/>
          <w:color w:val="auto"/>
          <w:highlight w:val="none"/>
        </w:rPr>
      </w:pPr>
    </w:p>
    <w:p w14:paraId="613A0E61">
      <w:pPr>
        <w:pStyle w:val="194"/>
        <w:widowControl/>
        <w:jc w:val="center"/>
        <w:rPr>
          <w:rFonts w:hint="default" w:ascii="宋体" w:hAnsi="宋体"/>
          <w:color w:val="auto"/>
          <w:highlight w:val="none"/>
        </w:rPr>
      </w:pPr>
    </w:p>
    <w:p w14:paraId="219E04AE">
      <w:pPr>
        <w:pStyle w:val="194"/>
        <w:widowControl/>
        <w:jc w:val="center"/>
        <w:rPr>
          <w:rFonts w:hint="default" w:ascii="宋体" w:hAnsi="宋体"/>
          <w:color w:val="auto"/>
          <w:highlight w:val="none"/>
        </w:rPr>
      </w:pPr>
    </w:p>
    <w:p w14:paraId="5290149E">
      <w:pPr>
        <w:pStyle w:val="194"/>
        <w:widowControl/>
        <w:jc w:val="center"/>
        <w:rPr>
          <w:rFonts w:hint="default" w:ascii="宋体" w:hAnsi="宋体"/>
          <w:color w:val="auto"/>
          <w:highlight w:val="none"/>
        </w:rPr>
      </w:pPr>
    </w:p>
    <w:p w14:paraId="750CBFDC">
      <w:pPr>
        <w:pStyle w:val="194"/>
        <w:widowControl/>
        <w:jc w:val="center"/>
        <w:rPr>
          <w:rFonts w:hint="default" w:ascii="宋体" w:hAnsi="宋体"/>
          <w:color w:val="auto"/>
          <w:highlight w:val="none"/>
        </w:rPr>
      </w:pPr>
    </w:p>
    <w:p w14:paraId="60ED9440">
      <w:pPr>
        <w:pStyle w:val="194"/>
        <w:widowControl/>
        <w:jc w:val="center"/>
        <w:rPr>
          <w:rFonts w:hint="default" w:ascii="宋体" w:hAnsi="宋体"/>
          <w:color w:val="auto"/>
          <w:highlight w:val="none"/>
        </w:rPr>
      </w:pPr>
    </w:p>
    <w:p w14:paraId="28F6C4E0">
      <w:pPr>
        <w:pStyle w:val="194"/>
        <w:widowControl/>
        <w:jc w:val="center"/>
        <w:rPr>
          <w:rFonts w:hint="default" w:ascii="宋体" w:hAnsi="宋体"/>
          <w:color w:val="auto"/>
          <w:highlight w:val="none"/>
        </w:rPr>
      </w:pPr>
    </w:p>
    <w:p w14:paraId="554F207D">
      <w:pPr>
        <w:pStyle w:val="194"/>
        <w:widowControl/>
        <w:jc w:val="center"/>
        <w:rPr>
          <w:rFonts w:hint="default" w:ascii="宋体" w:hAnsi="宋体"/>
          <w:color w:val="auto"/>
          <w:highlight w:val="none"/>
        </w:rPr>
      </w:pPr>
    </w:p>
    <w:p w14:paraId="35DF5BB8">
      <w:pPr>
        <w:pStyle w:val="194"/>
        <w:widowControl/>
        <w:jc w:val="center"/>
        <w:rPr>
          <w:rFonts w:hint="default" w:ascii="宋体" w:hAnsi="宋体"/>
          <w:color w:val="auto"/>
          <w:highlight w:val="none"/>
        </w:rPr>
      </w:pPr>
    </w:p>
    <w:p w14:paraId="111D88AC">
      <w:pPr>
        <w:pStyle w:val="194"/>
        <w:widowControl/>
        <w:jc w:val="center"/>
        <w:rPr>
          <w:rFonts w:hint="default" w:ascii="宋体" w:hAnsi="宋体"/>
          <w:color w:val="auto"/>
          <w:highlight w:val="none"/>
        </w:rPr>
      </w:pPr>
    </w:p>
    <w:p w14:paraId="7FC2DE69">
      <w:pPr>
        <w:pStyle w:val="194"/>
        <w:widowControl/>
        <w:jc w:val="center"/>
        <w:rPr>
          <w:rFonts w:hint="default" w:ascii="宋体" w:hAnsi="宋体"/>
          <w:color w:val="auto"/>
          <w:highlight w:val="none"/>
        </w:rPr>
      </w:pPr>
    </w:p>
    <w:p w14:paraId="7488D95B">
      <w:pPr>
        <w:pStyle w:val="194"/>
        <w:widowControl/>
        <w:jc w:val="center"/>
        <w:rPr>
          <w:rFonts w:hint="default" w:ascii="宋体" w:hAnsi="宋体"/>
          <w:color w:val="auto"/>
          <w:highlight w:val="none"/>
        </w:rPr>
      </w:pPr>
    </w:p>
    <w:p w14:paraId="1FD5B0F1">
      <w:pPr>
        <w:pStyle w:val="194"/>
        <w:widowControl/>
        <w:jc w:val="center"/>
        <w:rPr>
          <w:rFonts w:hint="default" w:ascii="宋体" w:hAnsi="宋体"/>
          <w:color w:val="auto"/>
          <w:highlight w:val="none"/>
        </w:rPr>
      </w:pPr>
    </w:p>
    <w:p w14:paraId="257DCBB1">
      <w:pPr>
        <w:pStyle w:val="194"/>
        <w:widowControl/>
        <w:jc w:val="center"/>
        <w:rPr>
          <w:rFonts w:hint="default" w:ascii="宋体" w:hAnsi="宋体"/>
          <w:color w:val="auto"/>
          <w:highlight w:val="none"/>
        </w:rPr>
      </w:pPr>
    </w:p>
    <w:p w14:paraId="4D5F7757">
      <w:pPr>
        <w:pStyle w:val="194"/>
        <w:widowControl/>
        <w:jc w:val="center"/>
        <w:rPr>
          <w:rFonts w:hint="default" w:ascii="宋体" w:hAnsi="宋体"/>
          <w:color w:val="auto"/>
          <w:highlight w:val="none"/>
        </w:rPr>
      </w:pPr>
    </w:p>
    <w:p w14:paraId="2F25E366">
      <w:pPr>
        <w:pStyle w:val="194"/>
        <w:widowControl/>
        <w:jc w:val="center"/>
        <w:rPr>
          <w:rFonts w:hint="default" w:ascii="宋体" w:hAnsi="宋体"/>
          <w:color w:val="auto"/>
          <w:highlight w:val="none"/>
        </w:rPr>
      </w:pPr>
    </w:p>
    <w:p w14:paraId="453CF4D2">
      <w:pPr>
        <w:pStyle w:val="194"/>
        <w:widowControl/>
        <w:jc w:val="center"/>
        <w:rPr>
          <w:rFonts w:hint="default" w:ascii="宋体" w:hAnsi="宋体"/>
          <w:color w:val="auto"/>
          <w:highlight w:val="none"/>
        </w:rPr>
      </w:pPr>
    </w:p>
    <w:p w14:paraId="4ED957A9">
      <w:pPr>
        <w:pStyle w:val="194"/>
        <w:widowControl/>
        <w:jc w:val="center"/>
        <w:rPr>
          <w:rFonts w:hint="default" w:ascii="宋体" w:hAnsi="宋体"/>
          <w:color w:val="auto"/>
          <w:highlight w:val="none"/>
        </w:rPr>
      </w:pPr>
    </w:p>
    <w:p w14:paraId="6E9BF5C0">
      <w:pPr>
        <w:pStyle w:val="194"/>
        <w:widowControl/>
        <w:jc w:val="center"/>
        <w:rPr>
          <w:rFonts w:hint="default" w:ascii="宋体" w:hAnsi="宋体"/>
          <w:color w:val="auto"/>
          <w:highlight w:val="none"/>
        </w:rPr>
      </w:pPr>
    </w:p>
    <w:p w14:paraId="3CDBFCA1">
      <w:pPr>
        <w:pStyle w:val="194"/>
        <w:widowControl/>
        <w:jc w:val="center"/>
        <w:rPr>
          <w:rFonts w:hint="default" w:ascii="宋体" w:hAnsi="宋体"/>
          <w:color w:val="auto"/>
          <w:highlight w:val="none"/>
        </w:rPr>
      </w:pPr>
    </w:p>
    <w:p w14:paraId="384280F9">
      <w:pPr>
        <w:pStyle w:val="194"/>
        <w:widowControl/>
        <w:jc w:val="center"/>
        <w:rPr>
          <w:rFonts w:hint="default" w:ascii="宋体" w:hAnsi="宋体"/>
          <w:color w:val="auto"/>
          <w:highlight w:val="none"/>
        </w:rPr>
      </w:pPr>
    </w:p>
    <w:p w14:paraId="6779B664">
      <w:pPr>
        <w:pStyle w:val="194"/>
        <w:widowControl/>
        <w:jc w:val="center"/>
        <w:rPr>
          <w:rFonts w:hint="default" w:ascii="宋体" w:hAnsi="宋体"/>
          <w:color w:val="auto"/>
          <w:highlight w:val="none"/>
        </w:rPr>
      </w:pPr>
    </w:p>
    <w:p w14:paraId="5BC3903A">
      <w:pPr>
        <w:pStyle w:val="194"/>
        <w:widowControl/>
        <w:jc w:val="center"/>
        <w:rPr>
          <w:rFonts w:hint="default" w:ascii="宋体" w:hAnsi="宋体"/>
          <w:color w:val="auto"/>
          <w:highlight w:val="none"/>
        </w:rPr>
      </w:pPr>
    </w:p>
    <w:p w14:paraId="30D2AD57">
      <w:pPr>
        <w:pStyle w:val="194"/>
        <w:widowControl/>
        <w:jc w:val="center"/>
        <w:rPr>
          <w:rFonts w:hint="default" w:ascii="宋体" w:hAnsi="宋体"/>
          <w:color w:val="auto"/>
          <w:highlight w:val="none"/>
        </w:rPr>
      </w:pPr>
    </w:p>
    <w:p w14:paraId="264492C4">
      <w:pPr>
        <w:pStyle w:val="194"/>
        <w:widowControl/>
        <w:jc w:val="center"/>
        <w:rPr>
          <w:rFonts w:hint="default" w:ascii="宋体" w:hAnsi="宋体" w:eastAsia="宋体" w:cs="宋体"/>
          <w:b/>
          <w:bCs/>
          <w:color w:val="auto"/>
          <w:sz w:val="28"/>
          <w:szCs w:val="28"/>
          <w:highlight w:val="none"/>
        </w:rPr>
      </w:pPr>
      <w:r>
        <w:rPr>
          <w:rFonts w:ascii="宋体" w:hAnsi="宋体" w:eastAsia="宋体" w:cs="宋体"/>
          <w:b/>
          <w:bCs/>
          <w:color w:val="auto"/>
          <w:sz w:val="28"/>
          <w:szCs w:val="28"/>
          <w:highlight w:val="none"/>
          <w:lang w:val="zh-TW" w:eastAsia="zh-TW"/>
        </w:rPr>
        <w:t>（五</w:t>
      </w:r>
      <w:r>
        <w:rPr>
          <w:rFonts w:ascii="宋体" w:hAnsi="宋体" w:eastAsia="宋体" w:cs="宋体"/>
          <w:b/>
          <w:bCs/>
          <w:color w:val="auto"/>
          <w:sz w:val="28"/>
          <w:szCs w:val="28"/>
          <w:highlight w:val="none"/>
        </w:rPr>
        <w:t>)供应商</w:t>
      </w:r>
      <w:r>
        <w:rPr>
          <w:rFonts w:ascii="宋体" w:hAnsi="宋体" w:eastAsia="宋体" w:cs="宋体"/>
          <w:b/>
          <w:bCs/>
          <w:color w:val="auto"/>
          <w:sz w:val="28"/>
          <w:szCs w:val="28"/>
          <w:highlight w:val="none"/>
          <w:lang w:val="zh-TW" w:eastAsia="zh-TW"/>
        </w:rPr>
        <w:t>认为需要提供的其他材料</w:t>
      </w:r>
    </w:p>
    <w:p w14:paraId="6B471D4A">
      <w:pPr>
        <w:pStyle w:val="48"/>
        <w:jc w:val="center"/>
        <w:rPr>
          <w:rFonts w:ascii="宋体" w:hAnsi="宋体" w:cs="宋体"/>
          <w:b/>
          <w:bCs/>
          <w:color w:val="auto"/>
          <w:sz w:val="28"/>
          <w:szCs w:val="28"/>
          <w:highlight w:val="none"/>
        </w:rPr>
      </w:pPr>
      <w:r>
        <w:rPr>
          <w:rFonts w:ascii="宋体" w:hAnsi="宋体" w:cs="宋体"/>
          <w:b/>
          <w:bCs/>
          <w:color w:val="auto"/>
          <w:sz w:val="28"/>
          <w:szCs w:val="28"/>
          <w:highlight w:val="none"/>
          <w:lang w:val="zh-TW" w:eastAsia="zh-TW"/>
        </w:rPr>
        <w:t>包含但不限于资格审查及打分项资料</w:t>
      </w:r>
    </w:p>
    <w:p w14:paraId="1F89635B">
      <w:pPr>
        <w:pStyle w:val="48"/>
        <w:rPr>
          <w:rFonts w:ascii="宋体" w:hAnsi="宋体" w:cs="宋体"/>
          <w:b/>
          <w:bCs/>
          <w:color w:val="auto"/>
          <w:sz w:val="28"/>
          <w:szCs w:val="28"/>
          <w:highlight w:val="none"/>
        </w:rPr>
      </w:pPr>
    </w:p>
    <w:p w14:paraId="37FDB175">
      <w:pPr>
        <w:pStyle w:val="194"/>
        <w:widowControl/>
        <w:jc w:val="center"/>
        <w:rPr>
          <w:rFonts w:hint="default" w:ascii="宋体" w:hAnsi="宋体" w:eastAsia="宋体" w:cs="宋体"/>
          <w:b/>
          <w:bCs/>
          <w:color w:val="auto"/>
          <w:sz w:val="32"/>
          <w:szCs w:val="32"/>
          <w:highlight w:val="none"/>
        </w:rPr>
      </w:pPr>
    </w:p>
    <w:p w14:paraId="28B2CF7E">
      <w:pPr>
        <w:pStyle w:val="194"/>
        <w:widowControl/>
        <w:jc w:val="center"/>
        <w:rPr>
          <w:rFonts w:hint="default" w:ascii="宋体" w:hAnsi="宋体" w:eastAsia="宋体" w:cs="宋体"/>
          <w:b/>
          <w:bCs/>
          <w:color w:val="auto"/>
          <w:sz w:val="32"/>
          <w:szCs w:val="32"/>
          <w:highlight w:val="none"/>
        </w:rPr>
      </w:pPr>
    </w:p>
    <w:p w14:paraId="0776A25E">
      <w:pPr>
        <w:pStyle w:val="194"/>
        <w:widowControl/>
        <w:jc w:val="center"/>
        <w:rPr>
          <w:rFonts w:hint="default" w:ascii="宋体" w:hAnsi="宋体" w:eastAsia="宋体" w:cs="宋体"/>
          <w:b/>
          <w:bCs/>
          <w:color w:val="auto"/>
          <w:sz w:val="32"/>
          <w:szCs w:val="32"/>
          <w:highlight w:val="none"/>
        </w:rPr>
      </w:pPr>
    </w:p>
    <w:p w14:paraId="4A974389">
      <w:pPr>
        <w:pStyle w:val="194"/>
        <w:widowControl/>
        <w:jc w:val="center"/>
        <w:rPr>
          <w:rFonts w:hint="default" w:ascii="宋体" w:hAnsi="宋体" w:eastAsia="宋体" w:cs="宋体"/>
          <w:b/>
          <w:bCs/>
          <w:color w:val="auto"/>
          <w:sz w:val="32"/>
          <w:szCs w:val="32"/>
          <w:highlight w:val="none"/>
        </w:rPr>
      </w:pPr>
    </w:p>
    <w:p w14:paraId="48B16A46">
      <w:pPr>
        <w:pStyle w:val="194"/>
        <w:widowControl/>
        <w:jc w:val="center"/>
        <w:rPr>
          <w:rFonts w:hint="default" w:ascii="宋体" w:hAnsi="宋体" w:eastAsia="宋体" w:cs="宋体"/>
          <w:b/>
          <w:bCs/>
          <w:color w:val="auto"/>
          <w:sz w:val="32"/>
          <w:szCs w:val="32"/>
          <w:highlight w:val="none"/>
        </w:rPr>
      </w:pPr>
    </w:p>
    <w:p w14:paraId="00CD905C">
      <w:pPr>
        <w:pStyle w:val="194"/>
        <w:widowControl/>
        <w:jc w:val="center"/>
        <w:rPr>
          <w:rFonts w:hint="default" w:ascii="宋体" w:hAnsi="宋体" w:eastAsia="宋体" w:cs="宋体"/>
          <w:b/>
          <w:bCs/>
          <w:color w:val="auto"/>
          <w:sz w:val="32"/>
          <w:szCs w:val="32"/>
          <w:highlight w:val="none"/>
        </w:rPr>
      </w:pPr>
    </w:p>
    <w:p w14:paraId="1AEB7E0D">
      <w:pPr>
        <w:pStyle w:val="194"/>
        <w:widowControl/>
        <w:jc w:val="center"/>
        <w:rPr>
          <w:rFonts w:hint="default" w:ascii="宋体" w:hAnsi="宋体" w:eastAsia="宋体" w:cs="宋体"/>
          <w:b/>
          <w:bCs/>
          <w:color w:val="auto"/>
          <w:sz w:val="32"/>
          <w:szCs w:val="32"/>
          <w:highlight w:val="none"/>
        </w:rPr>
      </w:pPr>
    </w:p>
    <w:p w14:paraId="2E8342ED">
      <w:pPr>
        <w:pStyle w:val="194"/>
        <w:widowControl/>
        <w:jc w:val="center"/>
        <w:rPr>
          <w:rFonts w:hint="default" w:ascii="宋体" w:hAnsi="宋体" w:eastAsia="宋体" w:cs="宋体"/>
          <w:b/>
          <w:bCs/>
          <w:color w:val="auto"/>
          <w:sz w:val="32"/>
          <w:szCs w:val="32"/>
          <w:highlight w:val="none"/>
        </w:rPr>
      </w:pPr>
    </w:p>
    <w:p w14:paraId="07BE52A4">
      <w:pPr>
        <w:pStyle w:val="194"/>
        <w:widowControl/>
        <w:jc w:val="center"/>
        <w:rPr>
          <w:rFonts w:hint="default" w:ascii="宋体" w:hAnsi="宋体" w:eastAsia="宋体" w:cs="宋体"/>
          <w:b/>
          <w:bCs/>
          <w:color w:val="auto"/>
          <w:sz w:val="32"/>
          <w:szCs w:val="32"/>
          <w:highlight w:val="none"/>
        </w:rPr>
      </w:pPr>
    </w:p>
    <w:p w14:paraId="03CD5E5A">
      <w:pPr>
        <w:pStyle w:val="194"/>
        <w:widowControl/>
        <w:jc w:val="center"/>
        <w:rPr>
          <w:rFonts w:hint="default" w:ascii="宋体" w:hAnsi="宋体" w:eastAsia="宋体" w:cs="宋体"/>
          <w:b/>
          <w:bCs/>
          <w:color w:val="auto"/>
          <w:sz w:val="32"/>
          <w:szCs w:val="32"/>
          <w:highlight w:val="none"/>
        </w:rPr>
      </w:pPr>
    </w:p>
    <w:p w14:paraId="2DE4C8D4">
      <w:pPr>
        <w:pStyle w:val="194"/>
        <w:widowControl/>
        <w:jc w:val="center"/>
        <w:rPr>
          <w:rFonts w:hint="default" w:ascii="宋体" w:hAnsi="宋体" w:eastAsia="宋体" w:cs="宋体"/>
          <w:b/>
          <w:bCs/>
          <w:color w:val="auto"/>
          <w:sz w:val="32"/>
          <w:szCs w:val="32"/>
          <w:highlight w:val="none"/>
        </w:rPr>
      </w:pPr>
    </w:p>
    <w:p w14:paraId="3CB7EA1C">
      <w:pPr>
        <w:pStyle w:val="195"/>
        <w:outlineLvl w:val="9"/>
        <w:rPr>
          <w:rFonts w:ascii="宋体" w:hAnsi="宋体" w:cs="宋体"/>
          <w:b w:val="0"/>
          <w:bCs w:val="0"/>
          <w:color w:val="auto"/>
          <w:sz w:val="32"/>
          <w:szCs w:val="32"/>
          <w:highlight w:val="none"/>
        </w:rPr>
      </w:pPr>
    </w:p>
    <w:p w14:paraId="6A05D3F3">
      <w:pPr>
        <w:pStyle w:val="196"/>
        <w:rPr>
          <w:rFonts w:ascii="宋体" w:hAnsi="宋体" w:cs="宋体"/>
          <w:b/>
          <w:bCs/>
          <w:color w:val="auto"/>
          <w:sz w:val="32"/>
          <w:szCs w:val="32"/>
          <w:highlight w:val="none"/>
        </w:rPr>
      </w:pPr>
    </w:p>
    <w:p w14:paraId="1ADB1B00">
      <w:pPr>
        <w:pStyle w:val="196"/>
        <w:rPr>
          <w:rFonts w:ascii="宋体" w:hAnsi="宋体" w:cs="宋体"/>
          <w:b/>
          <w:bCs/>
          <w:color w:val="auto"/>
          <w:sz w:val="32"/>
          <w:szCs w:val="32"/>
          <w:highlight w:val="none"/>
        </w:rPr>
      </w:pPr>
    </w:p>
    <w:p w14:paraId="1B5398E5">
      <w:pPr>
        <w:pStyle w:val="196"/>
        <w:rPr>
          <w:rFonts w:ascii="宋体" w:hAnsi="宋体" w:cs="宋体"/>
          <w:b/>
          <w:bCs/>
          <w:color w:val="auto"/>
          <w:sz w:val="32"/>
          <w:szCs w:val="32"/>
          <w:highlight w:val="none"/>
        </w:rPr>
      </w:pPr>
    </w:p>
    <w:p w14:paraId="53DC260D">
      <w:pPr>
        <w:pStyle w:val="196"/>
        <w:rPr>
          <w:rFonts w:ascii="宋体" w:hAnsi="宋体" w:cs="宋体"/>
          <w:b/>
          <w:bCs/>
          <w:color w:val="auto"/>
          <w:sz w:val="32"/>
          <w:szCs w:val="32"/>
          <w:highlight w:val="none"/>
        </w:rPr>
      </w:pPr>
    </w:p>
    <w:p w14:paraId="54FA6D1D">
      <w:pPr>
        <w:pStyle w:val="196"/>
        <w:rPr>
          <w:rFonts w:ascii="宋体" w:hAnsi="宋体" w:cs="宋体"/>
          <w:b/>
          <w:bCs/>
          <w:color w:val="auto"/>
          <w:sz w:val="32"/>
          <w:szCs w:val="32"/>
          <w:highlight w:val="none"/>
        </w:rPr>
      </w:pPr>
    </w:p>
    <w:p w14:paraId="290177CF">
      <w:pPr>
        <w:pStyle w:val="196"/>
        <w:rPr>
          <w:rFonts w:ascii="宋体" w:hAnsi="宋体" w:cs="宋体"/>
          <w:b/>
          <w:bCs/>
          <w:color w:val="auto"/>
          <w:sz w:val="32"/>
          <w:szCs w:val="32"/>
          <w:highlight w:val="none"/>
        </w:rPr>
      </w:pPr>
    </w:p>
    <w:p w14:paraId="2E52AAA9">
      <w:pPr>
        <w:pStyle w:val="196"/>
        <w:rPr>
          <w:rFonts w:ascii="宋体" w:hAnsi="宋体" w:cs="宋体"/>
          <w:b/>
          <w:bCs/>
          <w:color w:val="auto"/>
          <w:sz w:val="32"/>
          <w:szCs w:val="32"/>
          <w:highlight w:val="none"/>
        </w:rPr>
      </w:pPr>
    </w:p>
    <w:p w14:paraId="777BB6B1">
      <w:pPr>
        <w:pStyle w:val="196"/>
        <w:rPr>
          <w:rFonts w:ascii="宋体" w:hAnsi="宋体" w:cs="宋体"/>
          <w:b/>
          <w:bCs/>
          <w:color w:val="auto"/>
          <w:sz w:val="32"/>
          <w:szCs w:val="32"/>
          <w:highlight w:val="none"/>
        </w:rPr>
      </w:pPr>
    </w:p>
    <w:p w14:paraId="0FFAF6A8">
      <w:pPr>
        <w:pStyle w:val="194"/>
        <w:widowControl/>
        <w:jc w:val="center"/>
        <w:rPr>
          <w:rFonts w:hint="default" w:ascii="宋体" w:hAnsi="宋体" w:eastAsia="宋体" w:cs="宋体"/>
          <w:b/>
          <w:bCs/>
          <w:color w:val="auto"/>
          <w:sz w:val="32"/>
          <w:szCs w:val="32"/>
          <w:highlight w:val="none"/>
        </w:rPr>
      </w:pPr>
    </w:p>
    <w:p w14:paraId="15F4D340">
      <w:pPr>
        <w:pStyle w:val="194"/>
        <w:widowControl/>
        <w:jc w:val="center"/>
        <w:rPr>
          <w:rFonts w:hint="default" w:ascii="宋体" w:hAnsi="宋体" w:eastAsia="宋体" w:cs="宋体"/>
          <w:b/>
          <w:bCs/>
          <w:color w:val="auto"/>
          <w:sz w:val="32"/>
          <w:szCs w:val="32"/>
          <w:highlight w:val="none"/>
        </w:rPr>
      </w:pPr>
    </w:p>
    <w:p w14:paraId="69BB9C03">
      <w:pPr>
        <w:pStyle w:val="194"/>
        <w:widowControl/>
        <w:jc w:val="center"/>
        <w:rPr>
          <w:rFonts w:hint="default" w:ascii="宋体" w:hAnsi="宋体" w:eastAsia="宋体" w:cs="宋体"/>
          <w:b/>
          <w:bCs/>
          <w:color w:val="auto"/>
          <w:sz w:val="32"/>
          <w:szCs w:val="32"/>
          <w:highlight w:val="none"/>
        </w:rPr>
      </w:pPr>
    </w:p>
    <w:p w14:paraId="3A0429B2">
      <w:pPr>
        <w:pStyle w:val="194"/>
        <w:widowControl/>
        <w:jc w:val="center"/>
        <w:rPr>
          <w:rFonts w:hint="default" w:ascii="宋体" w:hAnsi="宋体" w:eastAsia="宋体" w:cs="宋体"/>
          <w:b/>
          <w:bCs/>
          <w:color w:val="auto"/>
          <w:sz w:val="32"/>
          <w:szCs w:val="32"/>
          <w:highlight w:val="none"/>
        </w:rPr>
      </w:pPr>
    </w:p>
    <w:p w14:paraId="7B5D27EC">
      <w:pPr>
        <w:pStyle w:val="194"/>
        <w:widowControl/>
        <w:jc w:val="center"/>
        <w:rPr>
          <w:rFonts w:hint="default" w:ascii="宋体" w:hAnsi="宋体" w:eastAsia="宋体" w:cs="宋体"/>
          <w:b/>
          <w:bCs/>
          <w:color w:val="auto"/>
          <w:sz w:val="32"/>
          <w:szCs w:val="32"/>
          <w:highlight w:val="none"/>
        </w:rPr>
      </w:pPr>
    </w:p>
    <w:p w14:paraId="7DDA8A56">
      <w:pPr>
        <w:pStyle w:val="194"/>
        <w:widowControl/>
        <w:rPr>
          <w:rFonts w:hint="default" w:ascii="宋体" w:hAnsi="宋体" w:eastAsia="宋体" w:cs="宋体"/>
          <w:b/>
          <w:bCs/>
          <w:color w:val="auto"/>
          <w:sz w:val="28"/>
          <w:szCs w:val="28"/>
          <w:highlight w:val="none"/>
          <w:lang w:val="zh-TW" w:eastAsia="zh-TW"/>
        </w:rPr>
      </w:pPr>
    </w:p>
    <w:p w14:paraId="7D8CAD2C">
      <w:pPr>
        <w:pStyle w:val="194"/>
        <w:widowControl/>
        <w:rPr>
          <w:rFonts w:hint="default" w:ascii="宋体" w:hAnsi="宋体" w:eastAsia="宋体" w:cs="宋体"/>
          <w:b/>
          <w:bCs/>
          <w:color w:val="auto"/>
          <w:sz w:val="28"/>
          <w:szCs w:val="28"/>
          <w:highlight w:val="none"/>
          <w:lang w:val="zh-TW" w:eastAsia="zh-TW"/>
        </w:rPr>
      </w:pPr>
    </w:p>
    <w:p w14:paraId="41216A37">
      <w:pPr>
        <w:pStyle w:val="194"/>
        <w:widowControl/>
        <w:rPr>
          <w:rFonts w:hint="default" w:ascii="宋体" w:hAnsi="宋体" w:eastAsia="宋体" w:cs="宋体"/>
          <w:b/>
          <w:bCs/>
          <w:color w:val="auto"/>
          <w:sz w:val="28"/>
          <w:szCs w:val="28"/>
          <w:highlight w:val="none"/>
          <w:lang w:val="zh-TW" w:eastAsia="zh-TW"/>
        </w:rPr>
      </w:pPr>
    </w:p>
    <w:p w14:paraId="26A2A649">
      <w:pPr>
        <w:pStyle w:val="194"/>
        <w:widowControl/>
        <w:rPr>
          <w:rFonts w:hint="default" w:ascii="宋体" w:hAnsi="宋体" w:eastAsia="宋体" w:cs="宋体"/>
          <w:b/>
          <w:bCs/>
          <w:color w:val="auto"/>
          <w:sz w:val="28"/>
          <w:szCs w:val="28"/>
          <w:highlight w:val="none"/>
        </w:rPr>
      </w:pPr>
      <w:r>
        <w:rPr>
          <w:rFonts w:ascii="宋体" w:hAnsi="宋体" w:eastAsia="宋体" w:cs="宋体"/>
          <w:b/>
          <w:bCs/>
          <w:color w:val="auto"/>
          <w:sz w:val="28"/>
          <w:szCs w:val="28"/>
          <w:highlight w:val="none"/>
          <w:lang w:val="zh-TW" w:eastAsia="zh-TW"/>
        </w:rPr>
        <w:t>附件：</w:t>
      </w:r>
    </w:p>
    <w:p w14:paraId="1397DEC5">
      <w:pPr>
        <w:keepNext/>
        <w:keepLines/>
        <w:spacing w:before="120" w:after="120" w:line="560" w:lineRule="exact"/>
        <w:jc w:val="left"/>
        <w:outlineLvl w:val="1"/>
        <w:rPr>
          <w:rFonts w:hint="eastAsia" w:ascii="宋体" w:hAnsi="宋体"/>
          <w:b/>
          <w:bCs w:val="0"/>
          <w:color w:val="auto"/>
          <w:szCs w:val="21"/>
          <w:highlight w:val="none"/>
        </w:rPr>
      </w:pPr>
    </w:p>
    <w:p w14:paraId="0353DEE5">
      <w:pPr>
        <w:keepNext/>
        <w:keepLines/>
        <w:spacing w:before="120" w:after="120" w:line="560" w:lineRule="exact"/>
        <w:jc w:val="left"/>
        <w:outlineLvl w:val="1"/>
        <w:rPr>
          <w:rFonts w:hint="eastAsia" w:ascii="宋体" w:hAnsi="宋体" w:eastAsia="宋体" w:cs="宋体"/>
          <w:b/>
          <w:bCs/>
          <w:i/>
          <w:iCs/>
          <w:color w:val="auto"/>
          <w:sz w:val="24"/>
          <w:szCs w:val="24"/>
          <w:highlight w:val="none"/>
          <w:u w:val="single"/>
          <w:lang w:val="zh-TW" w:eastAsia="zh-TW" w:bidi="ar-SA"/>
        </w:rPr>
      </w:pPr>
      <w:r>
        <w:rPr>
          <w:rFonts w:hint="eastAsia" w:ascii="宋体" w:hAnsi="宋体" w:eastAsia="宋体" w:cs="宋体"/>
          <w:b/>
          <w:bCs/>
          <w:i/>
          <w:iCs/>
          <w:color w:val="auto"/>
          <w:sz w:val="24"/>
          <w:szCs w:val="24"/>
          <w:highlight w:val="none"/>
          <w:u w:val="single"/>
          <w:lang w:val="zh-TW" w:eastAsia="zh-TW" w:bidi="ar-SA"/>
        </w:rPr>
        <w:t>参加政府采购活动前3年内在经营活动中没有重大违法记录的书面声明</w:t>
      </w:r>
    </w:p>
    <w:p w14:paraId="1F99DF7F">
      <w:pPr>
        <w:spacing w:line="560" w:lineRule="exact"/>
        <w:ind w:firstLine="420"/>
        <w:rPr>
          <w:rFonts w:ascii="宋体" w:hAnsi="宋体"/>
          <w:bCs/>
          <w:color w:val="auto"/>
          <w:szCs w:val="21"/>
          <w:highlight w:val="none"/>
        </w:rPr>
      </w:pPr>
      <w:r>
        <w:rPr>
          <w:rFonts w:hint="eastAsia" w:ascii="宋体" w:hAnsi="宋体" w:eastAsia="宋体" w:cs="宋体"/>
          <w:color w:val="auto"/>
          <w:sz w:val="21"/>
          <w:szCs w:val="21"/>
          <w:highlight w:val="none"/>
          <w:lang w:val="zh-TW" w:eastAsia="zh-TW" w:bidi="ar-SA"/>
        </w:rPr>
        <w:t>我公司郑重声明：参加本次政府采购活动前3年内，我公司在经营活动中没有因违法经营受到刑事处罚或者责令停产停业、吊销许可证或者执照、较大数额罚款等行政处罚</w:t>
      </w:r>
      <w:r>
        <w:rPr>
          <w:rFonts w:hint="eastAsia" w:ascii="宋体" w:hAnsi="宋体"/>
          <w:bCs/>
          <w:color w:val="auto"/>
          <w:szCs w:val="21"/>
          <w:highlight w:val="none"/>
        </w:rPr>
        <w:t>。</w:t>
      </w:r>
    </w:p>
    <w:p w14:paraId="26B461DD">
      <w:pPr>
        <w:spacing w:line="560" w:lineRule="exact"/>
        <w:ind w:firstLine="420"/>
        <w:rPr>
          <w:rFonts w:ascii="宋体" w:hAnsi="宋体"/>
          <w:bCs/>
          <w:color w:val="auto"/>
          <w:szCs w:val="21"/>
          <w:highlight w:val="none"/>
        </w:rPr>
      </w:pPr>
    </w:p>
    <w:p w14:paraId="2C138305">
      <w:pPr>
        <w:pStyle w:val="194"/>
        <w:widowControl/>
        <w:spacing w:line="360" w:lineRule="auto"/>
        <w:ind w:firstLine="4200"/>
        <w:rPr>
          <w:color w:val="auto"/>
          <w:highlight w:val="none"/>
        </w:rPr>
      </w:pPr>
    </w:p>
    <w:p w14:paraId="00DD2B6B">
      <w:pPr>
        <w:pStyle w:val="194"/>
        <w:widowControl/>
        <w:spacing w:line="360" w:lineRule="auto"/>
        <w:ind w:firstLine="4200"/>
        <w:rPr>
          <w:color w:val="auto"/>
          <w:highlight w:val="none"/>
        </w:rPr>
      </w:pPr>
      <w:r>
        <w:rPr>
          <w:rFonts w:hint="eastAsia"/>
          <w:color w:val="auto"/>
          <w:highlight w:val="none"/>
        </w:rPr>
        <w:t>磋商供应商（盖章）：</w:t>
      </w:r>
    </w:p>
    <w:p w14:paraId="2AD72761">
      <w:pPr>
        <w:pStyle w:val="194"/>
        <w:widowControl/>
        <w:spacing w:line="360" w:lineRule="auto"/>
        <w:ind w:firstLine="4200"/>
        <w:rPr>
          <w:color w:val="auto"/>
          <w:highlight w:val="none"/>
        </w:rPr>
      </w:pPr>
      <w:r>
        <w:rPr>
          <w:rFonts w:hint="eastAsia"/>
          <w:color w:val="auto"/>
          <w:highlight w:val="none"/>
        </w:rPr>
        <w:t>法定代表人或委托代理人（签字或盖章）：</w:t>
      </w:r>
    </w:p>
    <w:p w14:paraId="34047FC5">
      <w:pPr>
        <w:pStyle w:val="194"/>
        <w:widowControl/>
        <w:spacing w:line="360" w:lineRule="auto"/>
        <w:ind w:firstLine="4200"/>
        <w:rPr>
          <w:color w:val="auto"/>
          <w:highlight w:val="none"/>
        </w:rPr>
      </w:pPr>
      <w:r>
        <w:rPr>
          <w:rFonts w:hint="eastAsia"/>
          <w:color w:val="auto"/>
          <w:highlight w:val="none"/>
        </w:rPr>
        <w:t>年     月     日</w:t>
      </w:r>
    </w:p>
    <w:p w14:paraId="64822F8C">
      <w:pPr>
        <w:spacing w:line="460" w:lineRule="exact"/>
        <w:jc w:val="right"/>
        <w:rPr>
          <w:rFonts w:ascii="宋体" w:hAnsi="宋体"/>
          <w:bCs/>
          <w:color w:val="auto"/>
          <w:highlight w:val="none"/>
        </w:rPr>
      </w:pPr>
    </w:p>
    <w:p w14:paraId="4C703D1B">
      <w:pPr>
        <w:keepNext/>
        <w:keepLines/>
        <w:spacing w:before="120" w:after="120" w:line="560" w:lineRule="exact"/>
        <w:ind w:firstLine="0"/>
        <w:jc w:val="left"/>
        <w:rPr>
          <w:color w:val="auto"/>
          <w:highlight w:val="none"/>
        </w:rPr>
      </w:pPr>
    </w:p>
    <w:p w14:paraId="3EE6465D">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28059F79">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6D3433B4">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4E108EF1">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523DAF36">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7BA7B80F">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592B5C9B">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461401F2">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7213BFFC">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41F3F8E9">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64FE5C3E">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36F3020C">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032FBCBF">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28AD69A6">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78910536">
      <w:pPr>
        <w:pStyle w:val="194"/>
        <w:widowControl/>
        <w:spacing w:line="360" w:lineRule="auto"/>
        <w:jc w:val="center"/>
        <w:rPr>
          <w:rFonts w:hint="default" w:ascii="宋体" w:hAnsi="宋体" w:eastAsia="宋体" w:cs="宋体"/>
          <w:b/>
          <w:bCs/>
          <w:color w:val="auto"/>
          <w:sz w:val="24"/>
          <w:szCs w:val="24"/>
          <w:highlight w:val="none"/>
          <w:lang w:val="zh-TW" w:eastAsia="zh-TW"/>
        </w:rPr>
      </w:pPr>
    </w:p>
    <w:p w14:paraId="583E87DF">
      <w:pPr>
        <w:rPr>
          <w:rFonts w:ascii="宋体" w:hAnsi="宋体" w:eastAsia="宋体" w:cs="宋体"/>
          <w:b/>
          <w:bCs/>
          <w:color w:val="auto"/>
          <w:sz w:val="24"/>
          <w:szCs w:val="24"/>
          <w:highlight w:val="none"/>
          <w:lang w:val="zh-TW" w:eastAsia="zh-TW"/>
        </w:rPr>
      </w:pPr>
      <w:r>
        <w:rPr>
          <w:rFonts w:ascii="宋体" w:hAnsi="宋体" w:eastAsia="宋体" w:cs="宋体"/>
          <w:b/>
          <w:bCs/>
          <w:color w:val="auto"/>
          <w:sz w:val="24"/>
          <w:szCs w:val="24"/>
          <w:highlight w:val="none"/>
          <w:lang w:val="zh-TW" w:eastAsia="zh-TW"/>
        </w:rPr>
        <w:br w:type="page" w:clear="all"/>
      </w:r>
    </w:p>
    <w:p w14:paraId="3197F527">
      <w:pPr>
        <w:pStyle w:val="194"/>
        <w:widowControl/>
        <w:spacing w:line="360" w:lineRule="auto"/>
        <w:jc w:val="center"/>
        <w:rPr>
          <w:rFonts w:hint="default" w:ascii="宋体" w:hAnsi="宋体" w:eastAsia="宋体" w:cs="宋体"/>
          <w:b/>
          <w:bCs/>
          <w:i/>
          <w:iCs/>
          <w:color w:val="auto"/>
          <w:sz w:val="24"/>
          <w:szCs w:val="24"/>
          <w:highlight w:val="none"/>
          <w:u w:val="single"/>
        </w:rPr>
      </w:pPr>
      <w:r>
        <w:rPr>
          <w:rFonts w:ascii="宋体" w:hAnsi="宋体" w:eastAsia="宋体" w:cs="宋体"/>
          <w:b/>
          <w:bCs/>
          <w:i/>
          <w:iCs/>
          <w:color w:val="auto"/>
          <w:sz w:val="24"/>
          <w:szCs w:val="24"/>
          <w:highlight w:val="none"/>
          <w:u w:val="single"/>
          <w:lang w:val="zh-TW" w:eastAsia="zh-TW"/>
        </w:rPr>
        <w:t>具备履行合同所必需的设备和专业技术能力的书面声明</w:t>
      </w:r>
    </w:p>
    <w:p w14:paraId="45D7B70C">
      <w:pPr>
        <w:pStyle w:val="194"/>
        <w:widowControl/>
        <w:shd w:val="clear" w:color="auto" w:fill="FFFFFF"/>
        <w:ind w:firstLine="560"/>
        <w:rPr>
          <w:rFonts w:hint="default" w:ascii="宋体" w:hAnsi="宋体" w:eastAsia="宋体" w:cs="宋体"/>
          <w:color w:val="auto"/>
          <w:highlight w:val="none"/>
        </w:rPr>
      </w:pPr>
    </w:p>
    <w:p w14:paraId="7AA60A4B">
      <w:pPr>
        <w:pStyle w:val="48"/>
        <w:rPr>
          <w:rFonts w:ascii="宋体" w:hAnsi="宋体" w:cs="宋体"/>
          <w:color w:val="auto"/>
          <w:highlight w:val="none"/>
        </w:rPr>
      </w:pPr>
    </w:p>
    <w:p w14:paraId="0FFF71A4">
      <w:pPr>
        <w:pStyle w:val="48"/>
        <w:rPr>
          <w:rFonts w:ascii="宋体" w:hAnsi="宋体" w:cs="宋体"/>
          <w:color w:val="auto"/>
          <w:highlight w:val="none"/>
        </w:rPr>
      </w:pPr>
    </w:p>
    <w:p w14:paraId="53D6496D">
      <w:pPr>
        <w:pStyle w:val="48"/>
        <w:rPr>
          <w:rFonts w:ascii="宋体" w:hAnsi="宋体" w:cs="宋体"/>
          <w:color w:val="auto"/>
          <w:highlight w:val="none"/>
        </w:rPr>
      </w:pPr>
    </w:p>
    <w:p w14:paraId="67F04594">
      <w:pPr>
        <w:pStyle w:val="194"/>
        <w:widowControl/>
        <w:shd w:val="clear" w:color="auto" w:fill="FFFFFF"/>
        <w:spacing w:line="360" w:lineRule="auto"/>
        <w:ind w:firstLine="561"/>
        <w:rPr>
          <w:rFonts w:hint="default" w:ascii="宋体" w:hAnsi="宋体" w:eastAsia="宋体" w:cs="宋体"/>
          <w:color w:val="auto"/>
          <w:highlight w:val="none"/>
        </w:rPr>
      </w:pPr>
      <w:r>
        <w:rPr>
          <w:rFonts w:ascii="宋体" w:hAnsi="宋体" w:eastAsia="宋体" w:cs="宋体"/>
          <w:color w:val="auto"/>
          <w:highlight w:val="none"/>
          <w:lang w:val="zh-TW" w:eastAsia="zh-TW"/>
        </w:rPr>
        <w:t>我单位郑重声明：我单位具备履行本项采购合同所必需的设备和专业技术能力，为履行本项采购合同我公司具备如下主要设备和主要专业技术能力：</w:t>
      </w:r>
    </w:p>
    <w:p w14:paraId="27644182">
      <w:pPr>
        <w:pStyle w:val="194"/>
        <w:widowControl/>
        <w:shd w:val="clear" w:color="auto" w:fill="FFFFFF"/>
        <w:spacing w:line="360" w:lineRule="auto"/>
        <w:ind w:firstLine="561"/>
        <w:rPr>
          <w:rFonts w:hint="default" w:ascii="宋体" w:hAnsi="宋体" w:eastAsia="宋体" w:cs="宋体"/>
          <w:color w:val="auto"/>
          <w:highlight w:val="none"/>
        </w:rPr>
      </w:pPr>
      <w:r>
        <w:rPr>
          <w:rFonts w:ascii="宋体" w:hAnsi="宋体" w:eastAsia="宋体" w:cs="宋体"/>
          <w:color w:val="auto"/>
          <w:highlight w:val="none"/>
          <w:lang w:val="zh-TW" w:eastAsia="zh-TW"/>
        </w:rPr>
        <w:t>主要设备有：</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w:t>
      </w:r>
    </w:p>
    <w:p w14:paraId="5509BAEC">
      <w:pPr>
        <w:pStyle w:val="194"/>
        <w:widowControl/>
        <w:shd w:val="clear" w:color="auto" w:fill="FFFFFF"/>
        <w:spacing w:line="360" w:lineRule="auto"/>
        <w:ind w:firstLine="561"/>
        <w:rPr>
          <w:rFonts w:hint="default" w:ascii="宋体" w:hAnsi="宋体" w:eastAsia="宋体" w:cs="宋体"/>
          <w:color w:val="auto"/>
          <w:highlight w:val="none"/>
        </w:rPr>
      </w:pPr>
      <w:r>
        <w:rPr>
          <w:rFonts w:ascii="宋体" w:hAnsi="宋体" w:eastAsia="宋体" w:cs="宋体"/>
          <w:color w:val="auto"/>
          <w:highlight w:val="none"/>
          <w:lang w:val="zh-TW" w:eastAsia="zh-TW"/>
        </w:rPr>
        <w:t>主要专业技术能力有：</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w:t>
      </w:r>
    </w:p>
    <w:p w14:paraId="21566415">
      <w:pPr>
        <w:pStyle w:val="194"/>
        <w:widowControl/>
        <w:shd w:val="clear" w:color="auto" w:fill="FFFFFF"/>
        <w:spacing w:line="360" w:lineRule="auto"/>
        <w:ind w:firstLine="561"/>
        <w:rPr>
          <w:rFonts w:hint="default" w:ascii="宋体" w:hAnsi="宋体" w:eastAsia="宋体" w:cs="宋体"/>
          <w:color w:val="auto"/>
          <w:highlight w:val="none"/>
        </w:rPr>
      </w:pPr>
      <w:r>
        <w:rPr>
          <w:rFonts w:ascii="宋体" w:hAnsi="宋体" w:eastAsia="宋体" w:cs="宋体"/>
          <w:color w:val="auto"/>
          <w:highlight w:val="none"/>
        </w:rPr>
        <w:t xml:space="preserve">                                   </w:t>
      </w:r>
    </w:p>
    <w:p w14:paraId="7269EDED">
      <w:pPr>
        <w:pStyle w:val="194"/>
        <w:widowControl/>
        <w:shd w:val="clear" w:color="auto" w:fill="FFFFFF"/>
        <w:spacing w:line="360" w:lineRule="auto"/>
        <w:ind w:firstLine="561"/>
        <w:rPr>
          <w:rFonts w:hint="default" w:ascii="宋体" w:hAnsi="宋体" w:eastAsia="宋体" w:cs="宋体"/>
          <w:color w:val="auto"/>
          <w:highlight w:val="none"/>
        </w:rPr>
      </w:pPr>
      <w:r>
        <w:rPr>
          <w:rFonts w:ascii="宋体" w:hAnsi="宋体" w:eastAsia="宋体" w:cs="宋体"/>
          <w:color w:val="auto"/>
          <w:highlight w:val="none"/>
          <w:lang w:val="zh-TW" w:eastAsia="zh-TW"/>
        </w:rPr>
        <w:t>注：</w:t>
      </w:r>
      <w:r>
        <w:rPr>
          <w:rFonts w:hint="eastAsia" w:ascii="宋体" w:hAnsi="宋体" w:eastAsia="宋体" w:cs="宋体"/>
          <w:color w:val="auto"/>
          <w:highlight w:val="none"/>
          <w:lang w:val="en-US" w:eastAsia="zh-CN"/>
        </w:rPr>
        <w:t>须</w:t>
      </w:r>
      <w:r>
        <w:rPr>
          <w:rFonts w:ascii="宋体" w:hAnsi="宋体" w:eastAsia="宋体" w:cs="宋体"/>
          <w:color w:val="auto"/>
          <w:highlight w:val="none"/>
          <w:lang w:val="zh-TW" w:eastAsia="zh-TW"/>
        </w:rPr>
        <w:t>附相关证明材料。</w:t>
      </w:r>
    </w:p>
    <w:p w14:paraId="700F9272">
      <w:pPr>
        <w:pStyle w:val="194"/>
        <w:spacing w:line="360" w:lineRule="auto"/>
        <w:jc w:val="center"/>
        <w:rPr>
          <w:rFonts w:hint="default" w:ascii="宋体" w:hAnsi="宋体" w:eastAsia="宋体" w:cs="宋体"/>
          <w:color w:val="auto"/>
          <w:highlight w:val="none"/>
        </w:rPr>
      </w:pPr>
      <w:r>
        <w:rPr>
          <w:rFonts w:ascii="宋体" w:hAnsi="宋体" w:eastAsia="宋体" w:cs="宋体"/>
          <w:color w:val="auto"/>
          <w:highlight w:val="none"/>
        </w:rPr>
        <w:t xml:space="preserve">                </w:t>
      </w:r>
    </w:p>
    <w:p w14:paraId="6A5D7A8C">
      <w:pPr>
        <w:pStyle w:val="194"/>
        <w:spacing w:line="360" w:lineRule="auto"/>
        <w:jc w:val="center"/>
        <w:rPr>
          <w:rFonts w:hint="default" w:ascii="宋体" w:hAnsi="宋体" w:eastAsia="宋体" w:cs="宋体"/>
          <w:color w:val="auto"/>
          <w:highlight w:val="none"/>
        </w:rPr>
      </w:pPr>
    </w:p>
    <w:p w14:paraId="42F61890">
      <w:pPr>
        <w:pStyle w:val="194"/>
        <w:spacing w:line="360" w:lineRule="auto"/>
        <w:jc w:val="center"/>
        <w:rPr>
          <w:rFonts w:hint="default" w:ascii="宋体" w:hAnsi="宋体" w:eastAsia="宋体" w:cs="宋体"/>
          <w:color w:val="auto"/>
          <w:highlight w:val="none"/>
        </w:rPr>
      </w:pPr>
    </w:p>
    <w:p w14:paraId="00F211EC">
      <w:pPr>
        <w:pStyle w:val="194"/>
        <w:spacing w:line="360" w:lineRule="auto"/>
        <w:jc w:val="center"/>
        <w:rPr>
          <w:rFonts w:hint="default" w:ascii="宋体" w:hAnsi="宋体" w:eastAsia="宋体" w:cs="宋体"/>
          <w:color w:val="auto"/>
          <w:highlight w:val="none"/>
        </w:rPr>
      </w:pPr>
    </w:p>
    <w:p w14:paraId="3C81D399">
      <w:pPr>
        <w:pStyle w:val="194"/>
        <w:spacing w:line="360" w:lineRule="auto"/>
        <w:jc w:val="center"/>
        <w:rPr>
          <w:rFonts w:hint="default" w:ascii="宋体" w:hAnsi="宋体" w:eastAsia="宋体" w:cs="宋体"/>
          <w:color w:val="auto"/>
          <w:highlight w:val="none"/>
        </w:rPr>
      </w:pPr>
    </w:p>
    <w:p w14:paraId="39AE248D">
      <w:pPr>
        <w:pStyle w:val="194"/>
        <w:widowControl/>
        <w:spacing w:line="360" w:lineRule="auto"/>
        <w:ind w:firstLine="4200"/>
        <w:rPr>
          <w:rFonts w:hint="default" w:eastAsia="宋体"/>
          <w:color w:val="auto"/>
          <w:highlight w:val="none"/>
        </w:rPr>
      </w:pPr>
      <w:r>
        <w:rPr>
          <w:color w:val="auto"/>
          <w:highlight w:val="none"/>
        </w:rPr>
        <w:t>供应商（盖章）</w:t>
      </w:r>
      <w:r>
        <w:rPr>
          <w:rFonts w:eastAsia="宋体"/>
          <w:color w:val="auto"/>
          <w:highlight w:val="none"/>
        </w:rPr>
        <w:t>：</w:t>
      </w:r>
    </w:p>
    <w:p w14:paraId="5A3E377D">
      <w:pPr>
        <w:pStyle w:val="194"/>
        <w:widowControl/>
        <w:spacing w:line="360" w:lineRule="auto"/>
        <w:ind w:firstLine="4200"/>
        <w:jc w:val="left"/>
        <w:rPr>
          <w:rFonts w:hint="default" w:ascii="宋体" w:hAnsi="宋体" w:eastAsia="宋体" w:cs="宋体"/>
          <w:color w:val="auto"/>
          <w:highlight w:val="none"/>
        </w:rPr>
      </w:pPr>
      <w:r>
        <w:rPr>
          <w:rFonts w:ascii="宋体" w:hAnsi="宋体" w:eastAsia="宋体" w:cs="宋体"/>
          <w:color w:val="auto"/>
          <w:highlight w:val="none"/>
          <w:lang w:val="zh-TW" w:eastAsia="zh-TW"/>
        </w:rPr>
        <w:t>法定代表人或授权代理人</w:t>
      </w:r>
      <w:r>
        <w:rPr>
          <w:rFonts w:ascii="宋体" w:hAnsi="宋体" w:eastAsia="宋体" w:cs="宋体"/>
          <w:color w:val="auto"/>
          <w:highlight w:val="none"/>
        </w:rPr>
        <w:t>签字或</w:t>
      </w:r>
      <w:r>
        <w:rPr>
          <w:rFonts w:ascii="宋体" w:hAnsi="宋体" w:eastAsia="宋体" w:cs="宋体"/>
          <w:color w:val="auto"/>
          <w:highlight w:val="none"/>
          <w:lang w:val="zh-TW" w:eastAsia="zh-TW"/>
        </w:rPr>
        <w:t>（</w:t>
      </w:r>
      <w:r>
        <w:rPr>
          <w:rFonts w:ascii="宋体" w:hAnsi="宋体" w:eastAsia="宋体" w:cs="宋体"/>
          <w:color w:val="auto"/>
          <w:highlight w:val="none"/>
        </w:rPr>
        <w:t>盖</w:t>
      </w:r>
      <w:r>
        <w:rPr>
          <w:rFonts w:ascii="宋体" w:hAnsi="宋体" w:eastAsia="宋体" w:cs="宋体"/>
          <w:color w:val="auto"/>
          <w:highlight w:val="none"/>
          <w:lang w:val="zh-TW" w:eastAsia="zh-TW"/>
        </w:rPr>
        <w:t>章）</w:t>
      </w:r>
      <w:r>
        <w:rPr>
          <w:rFonts w:ascii="宋体" w:hAnsi="宋体" w:eastAsia="宋体" w:cs="宋体"/>
          <w:color w:val="auto"/>
          <w:highlight w:val="none"/>
          <w:lang w:val="zh-TW"/>
        </w:rPr>
        <w:t>：</w:t>
      </w:r>
    </w:p>
    <w:p w14:paraId="44C618AB">
      <w:pPr>
        <w:pStyle w:val="194"/>
        <w:widowControl/>
        <w:spacing w:line="360" w:lineRule="auto"/>
        <w:ind w:firstLine="350"/>
        <w:jc w:val="center"/>
        <w:rPr>
          <w:rFonts w:hint="default" w:ascii="宋体" w:hAnsi="宋体" w:eastAsia="宋体" w:cs="宋体"/>
          <w:color w:val="auto"/>
          <w:highlight w:val="none"/>
        </w:rPr>
      </w:pPr>
      <w:r>
        <w:rPr>
          <w:rFonts w:ascii="宋体" w:hAnsi="宋体" w:eastAsia="宋体" w:cs="宋体"/>
          <w:color w:val="auto"/>
          <w:highlight w:val="none"/>
        </w:rPr>
        <w:t xml:space="preserve">                             </w:t>
      </w:r>
      <w:r>
        <w:rPr>
          <w:rFonts w:ascii="宋体" w:hAnsi="宋体" w:eastAsia="宋体" w:cs="宋体"/>
          <w:color w:val="auto"/>
          <w:highlight w:val="none"/>
          <w:lang w:val="zh-TW" w:eastAsia="zh-TW"/>
        </w:rPr>
        <w:t>日期：      年      月      日</w:t>
      </w:r>
    </w:p>
    <w:p w14:paraId="40E04B08">
      <w:pPr>
        <w:pStyle w:val="194"/>
        <w:spacing w:line="360" w:lineRule="auto"/>
        <w:jc w:val="center"/>
        <w:rPr>
          <w:rFonts w:hint="default" w:ascii="宋体" w:hAnsi="宋体" w:eastAsia="宋体" w:cs="宋体"/>
          <w:color w:val="auto"/>
          <w:highlight w:val="none"/>
        </w:rPr>
      </w:pPr>
    </w:p>
    <w:p w14:paraId="6E5614C2">
      <w:pPr>
        <w:pStyle w:val="195"/>
        <w:outlineLvl w:val="9"/>
        <w:rPr>
          <w:rFonts w:ascii="宋体" w:hAnsi="宋体" w:cs="宋体"/>
          <w:color w:val="auto"/>
          <w:highlight w:val="none"/>
        </w:rPr>
      </w:pPr>
    </w:p>
    <w:p w14:paraId="76033615">
      <w:pPr>
        <w:pStyle w:val="196"/>
        <w:rPr>
          <w:rFonts w:ascii="宋体" w:hAnsi="宋体" w:cs="宋体"/>
          <w:color w:val="auto"/>
          <w:highlight w:val="none"/>
        </w:rPr>
      </w:pPr>
    </w:p>
    <w:p w14:paraId="78005A27">
      <w:pPr>
        <w:pStyle w:val="196"/>
        <w:rPr>
          <w:rFonts w:ascii="宋体" w:hAnsi="宋体" w:cs="宋体"/>
          <w:color w:val="auto"/>
          <w:highlight w:val="none"/>
        </w:rPr>
      </w:pPr>
    </w:p>
    <w:p w14:paraId="5F742FEF">
      <w:pPr>
        <w:pStyle w:val="196"/>
        <w:rPr>
          <w:rFonts w:ascii="宋体" w:hAnsi="宋体" w:cs="宋体"/>
          <w:color w:val="auto"/>
          <w:highlight w:val="none"/>
        </w:rPr>
      </w:pPr>
    </w:p>
    <w:p w14:paraId="05FE6670">
      <w:pPr>
        <w:pStyle w:val="196"/>
        <w:rPr>
          <w:rFonts w:ascii="宋体" w:hAnsi="宋体" w:cs="宋体"/>
          <w:color w:val="auto"/>
          <w:highlight w:val="none"/>
        </w:rPr>
      </w:pPr>
    </w:p>
    <w:p w14:paraId="6CD939D8">
      <w:pPr>
        <w:pStyle w:val="196"/>
        <w:rPr>
          <w:rFonts w:ascii="宋体" w:hAnsi="宋体" w:cs="宋体"/>
          <w:color w:val="auto"/>
          <w:highlight w:val="none"/>
        </w:rPr>
      </w:pPr>
    </w:p>
    <w:p w14:paraId="79B89F8B">
      <w:pPr>
        <w:pStyle w:val="196"/>
        <w:rPr>
          <w:rFonts w:ascii="宋体" w:hAnsi="宋体" w:cs="宋体"/>
          <w:color w:val="auto"/>
          <w:highlight w:val="none"/>
        </w:rPr>
      </w:pPr>
    </w:p>
    <w:p w14:paraId="6E7D723F">
      <w:pPr>
        <w:pStyle w:val="196"/>
        <w:rPr>
          <w:rFonts w:ascii="宋体" w:hAnsi="宋体" w:cs="宋体"/>
          <w:color w:val="auto"/>
          <w:highlight w:val="none"/>
        </w:rPr>
      </w:pPr>
    </w:p>
    <w:p w14:paraId="77832BE8">
      <w:pPr>
        <w:pStyle w:val="196"/>
        <w:rPr>
          <w:rFonts w:ascii="宋体" w:hAnsi="宋体" w:cs="宋体"/>
          <w:color w:val="auto"/>
          <w:highlight w:val="none"/>
        </w:rPr>
      </w:pPr>
    </w:p>
    <w:p w14:paraId="57BCE61A">
      <w:pPr>
        <w:pStyle w:val="196"/>
        <w:rPr>
          <w:rFonts w:ascii="宋体" w:hAnsi="宋体" w:cs="宋体"/>
          <w:color w:val="auto"/>
          <w:highlight w:val="none"/>
        </w:rPr>
      </w:pPr>
    </w:p>
    <w:p w14:paraId="0E3696AA">
      <w:pPr>
        <w:pStyle w:val="196"/>
        <w:rPr>
          <w:rFonts w:ascii="宋体" w:hAnsi="宋体" w:cs="宋体"/>
          <w:color w:val="auto"/>
          <w:highlight w:val="none"/>
        </w:rPr>
      </w:pPr>
    </w:p>
    <w:p w14:paraId="7C9D3615">
      <w:pPr>
        <w:pStyle w:val="196"/>
        <w:rPr>
          <w:rFonts w:ascii="宋体" w:hAnsi="宋体" w:cs="宋体"/>
          <w:color w:val="auto"/>
          <w:highlight w:val="none"/>
        </w:rPr>
      </w:pPr>
    </w:p>
    <w:p w14:paraId="0887A16C">
      <w:pPr>
        <w:pStyle w:val="196"/>
        <w:rPr>
          <w:rFonts w:ascii="宋体" w:hAnsi="宋体" w:cs="宋体"/>
          <w:color w:val="auto"/>
          <w:highlight w:val="none"/>
        </w:rPr>
      </w:pPr>
    </w:p>
    <w:p w14:paraId="43DFEC4B">
      <w:pPr>
        <w:pStyle w:val="196"/>
        <w:rPr>
          <w:rFonts w:ascii="宋体" w:hAnsi="宋体" w:cs="宋体"/>
          <w:color w:val="auto"/>
          <w:highlight w:val="none"/>
        </w:rPr>
      </w:pPr>
    </w:p>
    <w:p w14:paraId="42A744DF">
      <w:pPr>
        <w:pStyle w:val="196"/>
        <w:rPr>
          <w:rFonts w:ascii="宋体" w:hAnsi="宋体" w:cs="宋体"/>
          <w:color w:val="auto"/>
          <w:highlight w:val="none"/>
        </w:rPr>
      </w:pPr>
    </w:p>
    <w:p w14:paraId="21B55C5A">
      <w:pPr>
        <w:widowControl/>
        <w:shd w:val="clear" w:color="auto" w:fill="FFFFFF"/>
        <w:jc w:val="center"/>
        <w:rPr>
          <w:rFonts w:ascii="宋体" w:hAnsi="宋体" w:cs="宋体"/>
          <w:i/>
          <w:iCs/>
          <w:color w:val="auto"/>
          <w:szCs w:val="21"/>
          <w:highlight w:val="none"/>
          <w:u w:val="single"/>
        </w:rPr>
      </w:pPr>
      <w:r>
        <w:rPr>
          <w:rFonts w:hint="eastAsia" w:ascii="宋体" w:hAnsi="宋体" w:cs="宋体"/>
          <w:b/>
          <w:i/>
          <w:iCs/>
          <w:color w:val="auto"/>
          <w:highlight w:val="none"/>
          <w:u w:val="single"/>
        </w:rPr>
        <w:t>财务状况报告及税收、社会保障资金缴纳情况承诺函</w:t>
      </w:r>
    </w:p>
    <w:p w14:paraId="0330CBAC">
      <w:pPr>
        <w:ind w:firstLine="420"/>
        <w:rPr>
          <w:rFonts w:ascii="宋体" w:hAnsi="宋体" w:cs="宋体"/>
          <w:color w:val="auto"/>
          <w:sz w:val="21"/>
          <w:szCs w:val="21"/>
          <w:highlight w:val="none"/>
        </w:rPr>
      </w:pPr>
    </w:p>
    <w:p w14:paraId="71192639">
      <w:pPr>
        <w:ind w:firstLine="420"/>
        <w:rPr>
          <w:rFonts w:ascii="宋体" w:hAnsi="宋体" w:cs="宋体"/>
          <w:color w:val="auto"/>
          <w:sz w:val="21"/>
          <w:szCs w:val="21"/>
          <w:highlight w:val="none"/>
        </w:rPr>
      </w:pPr>
      <w:r>
        <w:rPr>
          <w:rFonts w:hint="eastAsia" w:ascii="宋体" w:hAnsi="宋体" w:cs="宋体"/>
          <w:color w:val="auto"/>
          <w:sz w:val="21"/>
          <w:szCs w:val="21"/>
          <w:highlight w:val="none"/>
        </w:rPr>
        <w:t>致：（采购人名称）：</w:t>
      </w:r>
    </w:p>
    <w:p w14:paraId="3E035E68">
      <w:pPr>
        <w:pStyle w:val="21"/>
        <w:ind w:firstLine="420"/>
        <w:rPr>
          <w:rFonts w:cs="宋体"/>
          <w:bCs/>
          <w:color w:val="auto"/>
          <w:sz w:val="21"/>
          <w:szCs w:val="21"/>
          <w:highlight w:val="none"/>
        </w:rPr>
      </w:pPr>
      <w:r>
        <w:rPr>
          <w:rFonts w:hint="eastAsia" w:cs="宋体"/>
          <w:bCs/>
          <w:color w:val="auto"/>
          <w:sz w:val="21"/>
          <w:szCs w:val="21"/>
          <w:highlight w:val="none"/>
        </w:rPr>
        <w:t>我方</w:t>
      </w:r>
      <w:r>
        <w:rPr>
          <w:rFonts w:hint="eastAsia" w:cs="宋体"/>
          <w:bCs/>
          <w:color w:val="auto"/>
          <w:sz w:val="21"/>
          <w:szCs w:val="21"/>
          <w:highlight w:val="none"/>
          <w:u w:val="single"/>
        </w:rPr>
        <w:t xml:space="preserve"> 供应商名称 </w:t>
      </w:r>
      <w:r>
        <w:rPr>
          <w:rFonts w:hint="eastAsia" w:cs="宋体"/>
          <w:bCs/>
          <w:color w:val="auto"/>
          <w:sz w:val="21"/>
          <w:szCs w:val="21"/>
          <w:highlight w:val="none"/>
        </w:rPr>
        <w:t>参加</w:t>
      </w:r>
      <w:r>
        <w:rPr>
          <w:rFonts w:hint="eastAsia" w:cs="宋体"/>
          <w:bCs/>
          <w:color w:val="auto"/>
          <w:sz w:val="21"/>
          <w:szCs w:val="21"/>
          <w:highlight w:val="none"/>
          <w:u w:val="single"/>
        </w:rPr>
        <w:t xml:space="preserve">  项目名称  </w:t>
      </w:r>
      <w:r>
        <w:rPr>
          <w:rFonts w:hint="eastAsia" w:cs="宋体"/>
          <w:bCs/>
          <w:color w:val="auto"/>
          <w:sz w:val="21"/>
          <w:szCs w:val="21"/>
          <w:highlight w:val="none"/>
        </w:rPr>
        <w:t>（</w:t>
      </w:r>
      <w:r>
        <w:rPr>
          <w:rFonts w:hint="eastAsia" w:cs="宋体"/>
          <w:bCs/>
          <w:color w:val="auto"/>
          <w:sz w:val="21"/>
          <w:szCs w:val="21"/>
          <w:highlight w:val="none"/>
          <w:lang w:eastAsia="zh-CN"/>
        </w:rPr>
        <w:t>项目</w:t>
      </w:r>
      <w:r>
        <w:rPr>
          <w:rFonts w:hint="eastAsia" w:cs="宋体"/>
          <w:bCs/>
          <w:color w:val="auto"/>
          <w:sz w:val="21"/>
          <w:szCs w:val="21"/>
          <w:highlight w:val="none"/>
        </w:rPr>
        <w:t>编号：）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043D9D3">
      <w:pPr>
        <w:pStyle w:val="21"/>
        <w:numPr>
          <w:ilvl w:val="0"/>
          <w:numId w:val="3"/>
        </w:numPr>
        <w:ind w:firstLine="420"/>
        <w:rPr>
          <w:rFonts w:cs="宋体"/>
          <w:bCs/>
          <w:color w:val="auto"/>
          <w:sz w:val="21"/>
          <w:szCs w:val="21"/>
          <w:highlight w:val="none"/>
        </w:rPr>
      </w:pPr>
      <w:r>
        <w:rPr>
          <w:rFonts w:hint="eastAsia" w:cs="宋体"/>
          <w:bCs/>
          <w:color w:val="auto"/>
          <w:sz w:val="21"/>
          <w:szCs w:val="21"/>
          <w:highlight w:val="none"/>
        </w:rPr>
        <w:t>具有良好的商业信誉和健全的财务会计制度（财务状况报告）；</w:t>
      </w:r>
    </w:p>
    <w:p w14:paraId="297C1DEE">
      <w:pPr>
        <w:pStyle w:val="21"/>
        <w:numPr>
          <w:ilvl w:val="0"/>
          <w:numId w:val="0"/>
        </w:numPr>
        <w:ind w:firstLine="420"/>
        <w:rPr>
          <w:rFonts w:cs="宋体"/>
          <w:b/>
          <w:bCs/>
          <w:color w:val="auto"/>
          <w:sz w:val="21"/>
          <w:szCs w:val="21"/>
          <w:highlight w:val="none"/>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2</w:t>
      </w:r>
      <w:r>
        <w:rPr>
          <w:rFonts w:hint="eastAsia" w:cs="宋体"/>
          <w:bCs/>
          <w:color w:val="auto"/>
          <w:sz w:val="21"/>
          <w:szCs w:val="21"/>
          <w:highlight w:val="none"/>
          <w:lang w:eastAsia="zh-CN"/>
        </w:rPr>
        <w:t>）</w:t>
      </w:r>
      <w:r>
        <w:rPr>
          <w:rFonts w:hint="eastAsia" w:cs="宋体"/>
          <w:bCs/>
          <w:color w:val="auto"/>
          <w:sz w:val="21"/>
          <w:szCs w:val="21"/>
          <w:highlight w:val="none"/>
        </w:rPr>
        <w:t>有依法缴纳税收和社会保障资金的良好记录。</w:t>
      </w:r>
    </w:p>
    <w:p w14:paraId="3ADC20D7">
      <w:pPr>
        <w:pStyle w:val="21"/>
        <w:ind w:firstLine="420"/>
        <w:rPr>
          <w:rFonts w:cs="宋体"/>
          <w:b/>
          <w:bCs/>
          <w:color w:val="auto"/>
          <w:sz w:val="21"/>
          <w:szCs w:val="21"/>
          <w:highlight w:val="none"/>
        </w:rPr>
      </w:pPr>
      <w:r>
        <w:rPr>
          <w:rFonts w:hint="eastAsia" w:cs="宋体"/>
          <w:bCs/>
          <w:color w:val="auto"/>
          <w:sz w:val="21"/>
          <w:szCs w:val="21"/>
          <w:highlight w:val="none"/>
        </w:rPr>
        <w:t>我方对上述承诺的真实性负责，如有虚假，将依法承担提供虚假材料谋取成交责任，同时无条件同意有关主管部门将相关失信信息记入公共信用信息系统并在相关政府门户网站公开。</w:t>
      </w:r>
    </w:p>
    <w:p w14:paraId="775E1855">
      <w:pPr>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特此承诺！</w:t>
      </w:r>
    </w:p>
    <w:p w14:paraId="2C0155C9">
      <w:pPr>
        <w:pStyle w:val="15"/>
        <w:rPr>
          <w:rFonts w:ascii="宋体" w:hAnsi="宋体" w:eastAsia="宋体" w:cs="宋体"/>
          <w:b/>
          <w:bCs/>
          <w:color w:val="auto"/>
          <w:sz w:val="21"/>
          <w:szCs w:val="21"/>
          <w:highlight w:val="none"/>
        </w:rPr>
      </w:pPr>
    </w:p>
    <w:p w14:paraId="18AB6D92">
      <w:pPr>
        <w:pStyle w:val="15"/>
        <w:rPr>
          <w:rFonts w:ascii="宋体" w:hAnsi="宋体" w:eastAsia="宋体" w:cs="宋体"/>
          <w:b/>
          <w:bCs/>
          <w:color w:val="auto"/>
          <w:sz w:val="21"/>
          <w:szCs w:val="21"/>
          <w:highlight w:val="none"/>
        </w:rPr>
      </w:pPr>
    </w:p>
    <w:p w14:paraId="511CAB77">
      <w:pPr>
        <w:pStyle w:val="194"/>
        <w:widowControl/>
        <w:spacing w:line="360" w:lineRule="auto"/>
        <w:ind w:firstLine="4410"/>
        <w:jc w:val="left"/>
        <w:rPr>
          <w:rFonts w:hint="default" w:eastAsia="宋体"/>
          <w:color w:val="auto"/>
          <w:highlight w:val="none"/>
        </w:rPr>
      </w:pPr>
      <w:r>
        <w:rPr>
          <w:color w:val="auto"/>
          <w:highlight w:val="none"/>
        </w:rPr>
        <w:t>供应商（盖章）</w:t>
      </w:r>
      <w:r>
        <w:rPr>
          <w:rFonts w:eastAsia="宋体"/>
          <w:color w:val="auto"/>
          <w:highlight w:val="none"/>
        </w:rPr>
        <w:t>：</w:t>
      </w:r>
    </w:p>
    <w:p w14:paraId="793CA70C">
      <w:pPr>
        <w:pStyle w:val="194"/>
        <w:widowControl/>
        <w:spacing w:line="360" w:lineRule="auto"/>
        <w:ind w:firstLine="4410"/>
        <w:jc w:val="left"/>
        <w:rPr>
          <w:rFonts w:hint="default" w:ascii="宋体" w:hAnsi="宋体" w:eastAsia="宋体" w:cs="宋体"/>
          <w:color w:val="auto"/>
          <w:highlight w:val="none"/>
        </w:rPr>
      </w:pPr>
      <w:r>
        <w:rPr>
          <w:rFonts w:ascii="宋体" w:hAnsi="宋体" w:eastAsia="宋体" w:cs="宋体"/>
          <w:color w:val="auto"/>
          <w:highlight w:val="none"/>
          <w:lang w:val="zh-TW" w:eastAsia="zh-TW"/>
        </w:rPr>
        <w:t>法定代表人或授权代理人</w:t>
      </w:r>
      <w:r>
        <w:rPr>
          <w:rFonts w:ascii="宋体" w:hAnsi="宋体" w:eastAsia="宋体" w:cs="宋体"/>
          <w:color w:val="auto"/>
          <w:highlight w:val="none"/>
        </w:rPr>
        <w:t>签字或</w:t>
      </w:r>
      <w:r>
        <w:rPr>
          <w:rFonts w:ascii="宋体" w:hAnsi="宋体" w:eastAsia="宋体" w:cs="宋体"/>
          <w:color w:val="auto"/>
          <w:highlight w:val="none"/>
          <w:lang w:val="zh-TW" w:eastAsia="zh-TW"/>
        </w:rPr>
        <w:t>（</w:t>
      </w:r>
      <w:r>
        <w:rPr>
          <w:rFonts w:ascii="宋体" w:hAnsi="宋体" w:eastAsia="宋体" w:cs="宋体"/>
          <w:color w:val="auto"/>
          <w:highlight w:val="none"/>
        </w:rPr>
        <w:t>盖</w:t>
      </w:r>
      <w:r>
        <w:rPr>
          <w:rFonts w:ascii="宋体" w:hAnsi="宋体" w:eastAsia="宋体" w:cs="宋体"/>
          <w:color w:val="auto"/>
          <w:highlight w:val="none"/>
          <w:lang w:val="zh-TW" w:eastAsia="zh-TW"/>
        </w:rPr>
        <w:t>章）</w:t>
      </w:r>
      <w:r>
        <w:rPr>
          <w:rFonts w:ascii="宋体" w:hAnsi="宋体" w:eastAsia="宋体" w:cs="宋体"/>
          <w:color w:val="auto"/>
          <w:highlight w:val="none"/>
        </w:rPr>
        <w:t>:</w:t>
      </w:r>
    </w:p>
    <w:p w14:paraId="112A07B5">
      <w:pPr>
        <w:ind w:firstLine="4401"/>
        <w:jc w:val="left"/>
        <w:rPr>
          <w:rFonts w:ascii="宋体" w:hAnsi="宋体" w:cs="宋体"/>
          <w:color w:val="auto"/>
          <w:sz w:val="21"/>
          <w:szCs w:val="21"/>
          <w:highlight w:val="none"/>
        </w:rPr>
      </w:pPr>
      <w:r>
        <w:rPr>
          <w:rFonts w:ascii="宋体" w:hAnsi="宋体" w:cs="宋体"/>
          <w:color w:val="auto"/>
          <w:highlight w:val="none"/>
          <w:lang w:val="zh-TW" w:eastAsia="zh-TW"/>
        </w:rPr>
        <w:t>日期：      年      月      日</w:t>
      </w:r>
    </w:p>
    <w:p w14:paraId="55237AF1">
      <w:pPr>
        <w:pStyle w:val="196"/>
        <w:ind w:firstLine="0"/>
        <w:rPr>
          <w:rFonts w:ascii="宋体" w:hAnsi="宋体" w:cs="宋体"/>
          <w:color w:val="auto"/>
          <w:highlight w:val="none"/>
        </w:rPr>
      </w:pPr>
    </w:p>
    <w:p w14:paraId="7C0366FF">
      <w:pPr>
        <w:pStyle w:val="48"/>
        <w:rPr>
          <w:color w:val="auto"/>
          <w:highlight w:val="none"/>
        </w:rPr>
        <w:sectPr>
          <w:headerReference r:id="rId10" w:type="default"/>
          <w:footerReference r:id="rId11" w:type="default"/>
          <w:pgSz w:w="11900" w:h="16840" w:orient="landscape"/>
          <w:pgMar w:top="1440" w:right="1463" w:bottom="1440" w:left="1519" w:header="851" w:footer="992" w:gutter="0"/>
          <w:cols w:space="720" w:num="1"/>
        </w:sectPr>
      </w:pPr>
    </w:p>
    <w:p w14:paraId="1281D6D0">
      <w:pPr>
        <w:pStyle w:val="194"/>
        <w:widowControl/>
        <w:shd w:val="clear" w:color="auto" w:fill="FFFFFF"/>
        <w:spacing w:before="100" w:after="100" w:line="360" w:lineRule="auto"/>
        <w:ind w:firstLine="2880"/>
        <w:rPr>
          <w:rFonts w:hint="default" w:ascii="宋体" w:hAnsi="宋体" w:eastAsia="宋体" w:cs="宋体"/>
          <w:i/>
          <w:iCs/>
          <w:color w:val="auto"/>
          <w:sz w:val="24"/>
          <w:szCs w:val="24"/>
          <w:highlight w:val="none"/>
          <w:u w:val="single"/>
        </w:rPr>
      </w:pPr>
      <w:r>
        <w:rPr>
          <w:rFonts w:ascii="宋体" w:hAnsi="宋体" w:eastAsia="宋体" w:cs="宋体"/>
          <w:b/>
          <w:bCs/>
          <w:i/>
          <w:iCs/>
          <w:color w:val="auto"/>
          <w:sz w:val="24"/>
          <w:szCs w:val="24"/>
          <w:highlight w:val="none"/>
          <w:u w:val="single"/>
          <w:lang w:val="zh-TW" w:eastAsia="zh-TW"/>
        </w:rPr>
        <w:t>法定代表人资格证明</w:t>
      </w:r>
    </w:p>
    <w:p w14:paraId="76BDB1A1">
      <w:pPr>
        <w:pStyle w:val="194"/>
        <w:widowControl/>
        <w:shd w:val="clear" w:color="auto" w:fill="FFFFFF"/>
        <w:spacing w:before="100" w:after="100" w:line="360" w:lineRule="auto"/>
        <w:ind w:firstLine="280"/>
        <w:rPr>
          <w:rFonts w:hint="default" w:ascii="宋体" w:hAnsi="宋体" w:eastAsia="宋体" w:cs="宋体"/>
          <w:color w:val="auto"/>
          <w:highlight w:val="none"/>
        </w:rPr>
      </w:pPr>
      <w:r>
        <w:rPr>
          <w:rFonts w:ascii="宋体" w:hAnsi="宋体" w:eastAsia="宋体" w:cs="宋体"/>
          <w:color w:val="auto"/>
          <w:highlight w:val="none"/>
          <w:lang w:val="zh-TW" w:eastAsia="zh-TW"/>
        </w:rPr>
        <w:t>供应商名称：</w:t>
      </w:r>
    </w:p>
    <w:p w14:paraId="4DAB56DA">
      <w:pPr>
        <w:pStyle w:val="194"/>
        <w:widowControl/>
        <w:shd w:val="clear" w:color="auto" w:fill="FFFFFF"/>
        <w:spacing w:before="100" w:after="100" w:line="360" w:lineRule="auto"/>
        <w:ind w:firstLine="280"/>
        <w:rPr>
          <w:rFonts w:hint="default" w:ascii="宋体" w:hAnsi="宋体" w:eastAsia="宋体" w:cs="宋体"/>
          <w:color w:val="auto"/>
          <w:highlight w:val="none"/>
        </w:rPr>
      </w:pPr>
      <w:r>
        <w:rPr>
          <w:rFonts w:ascii="宋体" w:hAnsi="宋体" w:eastAsia="宋体" w:cs="宋体"/>
          <w:color w:val="auto"/>
          <w:highlight w:val="none"/>
          <w:lang w:val="zh-TW" w:eastAsia="zh-TW"/>
        </w:rPr>
        <w:t>地址：</w:t>
      </w:r>
    </w:p>
    <w:p w14:paraId="4E7CD7D1">
      <w:pPr>
        <w:pStyle w:val="194"/>
        <w:widowControl/>
        <w:shd w:val="clear" w:color="auto" w:fill="FFFFFF"/>
        <w:spacing w:before="100" w:after="100" w:line="360" w:lineRule="auto"/>
        <w:ind w:firstLine="280"/>
        <w:rPr>
          <w:rFonts w:hint="default" w:ascii="宋体" w:hAnsi="宋体" w:eastAsia="宋体" w:cs="宋体"/>
          <w:color w:val="auto"/>
          <w:highlight w:val="none"/>
        </w:rPr>
      </w:pPr>
      <w:r>
        <w:rPr>
          <w:rFonts w:ascii="宋体" w:hAnsi="宋体" w:eastAsia="宋体" w:cs="宋体"/>
          <w:color w:val="auto"/>
          <w:highlight w:val="none"/>
          <w:lang w:val="zh-TW" w:eastAsia="zh-TW"/>
        </w:rPr>
        <w:t>姓名：      性别：    年龄：     职务：</w:t>
      </w:r>
    </w:p>
    <w:p w14:paraId="0F7C9A27">
      <w:pPr>
        <w:pStyle w:val="194"/>
        <w:widowControl/>
        <w:shd w:val="clear" w:color="auto" w:fill="FFFFFF"/>
        <w:spacing w:before="100" w:after="100" w:line="360" w:lineRule="auto"/>
        <w:ind w:left="1" w:firstLine="560"/>
        <w:rPr>
          <w:rFonts w:hint="default" w:ascii="宋体" w:hAnsi="宋体" w:eastAsia="宋体" w:cs="宋体"/>
          <w:color w:val="auto"/>
          <w:highlight w:val="none"/>
        </w:rPr>
      </w:pPr>
      <w:r>
        <w:rPr>
          <w:rFonts w:ascii="宋体" w:hAnsi="宋体" w:eastAsia="宋体" w:cs="宋体"/>
          <w:color w:val="auto"/>
          <w:highlight w:val="none"/>
          <w:lang w:val="zh-TW" w:eastAsia="zh-TW"/>
        </w:rPr>
        <w:t>系</w:t>
      </w:r>
      <w:r>
        <w:rPr>
          <w:rFonts w:ascii="宋体" w:hAnsi="宋体" w:eastAsia="宋体" w:cs="宋体"/>
          <w:color w:val="auto"/>
          <w:highlight w:val="none"/>
          <w:u w:val="single"/>
          <w:lang w:val="zh-TW" w:eastAsia="zh-TW"/>
        </w:rPr>
        <w:t xml:space="preserve">          （供应商单位名称）</w:t>
      </w:r>
      <w:r>
        <w:rPr>
          <w:rFonts w:ascii="宋体" w:hAnsi="宋体" w:eastAsia="宋体" w:cs="宋体"/>
          <w:color w:val="auto"/>
          <w:highlight w:val="none"/>
          <w:lang w:val="zh-TW" w:eastAsia="zh-TW"/>
        </w:rPr>
        <w:t>的法定代表人。为参与</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项目，签署上述项目的投标文件、进行招标、签署合同和处理与之有关的一切事务。</w:t>
      </w:r>
    </w:p>
    <w:p w14:paraId="3B2C2CDB">
      <w:pPr>
        <w:pStyle w:val="194"/>
        <w:widowControl/>
        <w:shd w:val="clear" w:color="auto" w:fill="FFFFFF"/>
        <w:spacing w:before="100" w:after="100" w:line="360" w:lineRule="auto"/>
        <w:ind w:firstLine="280"/>
        <w:rPr>
          <w:rFonts w:hint="default" w:ascii="宋体" w:hAnsi="宋体" w:eastAsia="宋体" w:cs="宋体"/>
          <w:color w:val="auto"/>
          <w:highlight w:val="none"/>
        </w:rPr>
      </w:pPr>
      <w:r>
        <w:rPr>
          <w:rFonts w:ascii="宋体" w:hAnsi="宋体" w:eastAsia="宋体" w:cs="宋体"/>
          <w:color w:val="auto"/>
          <w:highlight w:val="none"/>
          <w:lang w:val="zh-TW" w:eastAsia="zh-TW"/>
        </w:rPr>
        <w:t>特此证明</w:t>
      </w:r>
    </w:p>
    <w:p w14:paraId="3D7EAD46">
      <w:pPr>
        <w:pStyle w:val="194"/>
        <w:spacing w:line="360" w:lineRule="auto"/>
        <w:jc w:val="right"/>
        <w:rPr>
          <w:rFonts w:hint="default" w:ascii="宋体" w:hAnsi="宋体" w:eastAsia="宋体" w:cs="宋体"/>
          <w:color w:val="auto"/>
          <w:highlight w:val="none"/>
        </w:rPr>
      </w:pPr>
      <w:r>
        <w:rPr>
          <w:rFonts w:ascii="宋体" w:hAnsi="宋体" w:eastAsia="宋体" w:cs="宋体"/>
          <w:color w:val="auto"/>
          <w:highlight w:val="none"/>
          <w:lang w:val="zh-TW" w:eastAsia="zh-TW"/>
        </w:rPr>
        <w:t>供应商单位名称（公章）：</w:t>
      </w:r>
    </w:p>
    <w:p w14:paraId="5307B01D">
      <w:pPr>
        <w:pStyle w:val="194"/>
        <w:spacing w:line="360" w:lineRule="auto"/>
        <w:jc w:val="right"/>
        <w:rPr>
          <w:rFonts w:hint="default" w:ascii="宋体" w:hAnsi="宋体" w:eastAsia="宋体" w:cs="宋体"/>
          <w:color w:val="auto"/>
          <w:highlight w:val="none"/>
        </w:rPr>
      </w:pPr>
      <w:r>
        <w:rPr>
          <w:rFonts w:ascii="宋体" w:hAnsi="宋体" w:eastAsia="宋体" w:cs="宋体"/>
          <w:color w:val="auto"/>
          <w:highlight w:val="none"/>
          <w:lang w:val="zh-TW" w:eastAsia="zh-TW"/>
        </w:rPr>
        <w:t xml:space="preserve">法定代表人或者授权委托代表人（盖章或签字）：                             </w:t>
      </w:r>
    </w:p>
    <w:p w14:paraId="45C18984">
      <w:pPr>
        <w:pStyle w:val="194"/>
        <w:spacing w:line="360" w:lineRule="auto"/>
        <w:jc w:val="right"/>
        <w:rPr>
          <w:rFonts w:hint="default" w:ascii="宋体" w:hAnsi="宋体" w:eastAsia="宋体" w:cs="宋体"/>
          <w:color w:val="auto"/>
          <w:highlight w:val="none"/>
        </w:rPr>
      </w:pPr>
      <w:r>
        <w:rPr>
          <w:rFonts w:ascii="宋体" w:hAnsi="宋体" w:eastAsia="宋体" w:cs="宋体"/>
          <w:color w:val="auto"/>
          <w:highlight w:val="none"/>
          <w:lang w:val="zh-TW" w:eastAsia="zh-TW"/>
        </w:rPr>
        <w:t>日期：    年    月    日</w:t>
      </w:r>
    </w:p>
    <w:p w14:paraId="383C0DDB">
      <w:pPr>
        <w:pStyle w:val="194"/>
        <w:widowControl/>
        <w:shd w:val="clear" w:color="auto" w:fill="FFFFFF"/>
        <w:spacing w:before="100" w:after="100" w:line="360" w:lineRule="auto"/>
        <w:rPr>
          <w:rFonts w:hint="default" w:ascii="宋体" w:hAnsi="宋体" w:eastAsia="宋体" w:cs="宋体"/>
          <w:color w:val="auto"/>
          <w:highlight w:val="none"/>
        </w:rPr>
      </w:pPr>
    </w:p>
    <w:p w14:paraId="26F4C864">
      <w:pPr>
        <w:pStyle w:val="194"/>
        <w:widowControl/>
        <w:shd w:val="clear" w:color="auto" w:fill="FFFFFF"/>
        <w:spacing w:before="100" w:after="100" w:line="360" w:lineRule="auto"/>
        <w:ind w:firstLine="190"/>
        <w:rPr>
          <w:rFonts w:hint="default" w:ascii="宋体" w:hAnsi="宋体" w:eastAsia="宋体" w:cs="宋体"/>
          <w:color w:val="auto"/>
          <w:highlight w:val="none"/>
        </w:rPr>
      </w:pPr>
      <w:r>
        <w:rPr>
          <w:rFonts w:ascii="宋体" w:hAnsi="宋体" w:eastAsia="宋体" w:cs="宋体"/>
          <w:b/>
          <w:bCs/>
          <w:color w:val="auto"/>
          <w:highlight w:val="none"/>
          <w:lang w:val="zh-TW" w:eastAsia="zh-TW"/>
        </w:rPr>
        <w:t>注</w:t>
      </w:r>
      <w:r>
        <w:rPr>
          <w:rFonts w:ascii="宋体" w:hAnsi="宋体" w:eastAsia="宋体" w:cs="宋体"/>
          <w:b/>
          <w:bCs/>
          <w:color w:val="auto"/>
          <w:highlight w:val="none"/>
        </w:rPr>
        <w:t>:</w:t>
      </w:r>
      <w:r>
        <w:rPr>
          <w:rFonts w:ascii="宋体" w:hAnsi="宋体" w:eastAsia="宋体" w:cs="宋体"/>
          <w:b/>
          <w:bCs/>
          <w:color w:val="auto"/>
          <w:highlight w:val="none"/>
          <w:lang w:val="zh-TW" w:eastAsia="zh-TW"/>
        </w:rPr>
        <w:t>供应商法定代表人参加投标的，必须附法定代表人身份证。法定代表人授权其他人参加投标的，需填写</w:t>
      </w:r>
      <w:r>
        <w:rPr>
          <w:rFonts w:ascii="宋体" w:hAnsi="宋体" w:eastAsia="宋体" w:cs="宋体"/>
          <w:b/>
          <w:bCs/>
          <w:color w:val="auto"/>
          <w:highlight w:val="none"/>
        </w:rPr>
        <w:t>“</w:t>
      </w:r>
      <w:r>
        <w:rPr>
          <w:rFonts w:ascii="宋体" w:hAnsi="宋体" w:eastAsia="宋体" w:cs="宋体"/>
          <w:b/>
          <w:bCs/>
          <w:color w:val="auto"/>
          <w:highlight w:val="none"/>
          <w:lang w:val="zh-TW" w:eastAsia="zh-TW"/>
        </w:rPr>
        <w:t>授权委托书</w:t>
      </w:r>
      <w:r>
        <w:rPr>
          <w:rFonts w:ascii="宋体" w:hAnsi="宋体" w:eastAsia="宋体" w:cs="宋体"/>
          <w:b/>
          <w:bCs/>
          <w:color w:val="auto"/>
          <w:highlight w:val="none"/>
        </w:rPr>
        <w:t>”</w:t>
      </w:r>
      <w:r>
        <w:rPr>
          <w:rFonts w:ascii="宋体" w:hAnsi="宋体" w:eastAsia="宋体" w:cs="宋体"/>
          <w:b/>
          <w:bCs/>
          <w:color w:val="auto"/>
          <w:highlight w:val="none"/>
          <w:lang w:val="zh-TW" w:eastAsia="zh-TW"/>
        </w:rPr>
        <w:t>。</w:t>
      </w:r>
      <w:r>
        <w:rPr>
          <w:rFonts w:ascii="宋体" w:hAnsi="宋体" w:eastAsia="宋体" w:cs="宋体"/>
          <w:color w:val="auto"/>
          <w:highlight w:val="none"/>
        </w:rPr>
        <w:t xml:space="preserve"> </w:t>
      </w:r>
    </w:p>
    <w:p w14:paraId="21528408">
      <w:pPr>
        <w:pStyle w:val="194"/>
        <w:spacing w:line="480" w:lineRule="exact"/>
        <w:jc w:val="center"/>
        <w:rPr>
          <w:rFonts w:hint="default"/>
          <w:color w:val="auto"/>
          <w:highlight w:val="none"/>
        </w:rPr>
      </w:pPr>
      <w:r>
        <w:rPr>
          <w:rFonts w:ascii="宋体" w:hAnsi="宋体" w:eastAsia="宋体" w:cs="宋体"/>
          <w:b/>
          <w:bCs/>
          <w:color w:val="auto"/>
          <w:sz w:val="28"/>
          <w:szCs w:val="28"/>
          <w:highlight w:val="none"/>
        </w:rPr>
        <w:br w:type="page" w:clear="all"/>
      </w:r>
    </w:p>
    <w:p w14:paraId="10147AC3">
      <w:pPr>
        <w:pStyle w:val="194"/>
        <w:spacing w:line="480" w:lineRule="exact"/>
        <w:jc w:val="center"/>
        <w:rPr>
          <w:rFonts w:hint="default" w:ascii="宋体" w:hAnsi="宋体" w:eastAsia="宋体" w:cs="宋体"/>
          <w:i/>
          <w:iCs/>
          <w:color w:val="auto"/>
          <w:sz w:val="24"/>
          <w:szCs w:val="24"/>
          <w:highlight w:val="none"/>
          <w:u w:val="single"/>
        </w:rPr>
      </w:pPr>
      <w:r>
        <w:rPr>
          <w:rFonts w:ascii="宋体" w:hAnsi="宋体" w:eastAsia="宋体" w:cs="宋体"/>
          <w:b/>
          <w:bCs/>
          <w:i/>
          <w:iCs/>
          <w:color w:val="auto"/>
          <w:sz w:val="24"/>
          <w:szCs w:val="24"/>
          <w:highlight w:val="none"/>
          <w:u w:val="single"/>
          <w:lang w:val="zh-TW" w:eastAsia="zh-TW"/>
        </w:rPr>
        <w:t>法定代表人授权委托书（格式）</w:t>
      </w:r>
    </w:p>
    <w:p w14:paraId="518DF0E8">
      <w:pPr>
        <w:pStyle w:val="194"/>
        <w:spacing w:line="48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委托人（名称）</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w:t>
      </w:r>
    </w:p>
    <w:p w14:paraId="647E3CD5">
      <w:pPr>
        <w:pStyle w:val="194"/>
        <w:spacing w:line="48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地  址：</w:t>
      </w:r>
    </w:p>
    <w:p w14:paraId="4258973E">
      <w:pPr>
        <w:pStyle w:val="194"/>
        <w:spacing w:line="480" w:lineRule="exact"/>
        <w:rPr>
          <w:rFonts w:hint="default" w:ascii="宋体" w:hAnsi="宋体" w:eastAsia="宋体" w:cs="宋体"/>
          <w:color w:val="auto"/>
          <w:highlight w:val="none"/>
          <w:u w:val="single"/>
        </w:rPr>
      </w:pPr>
      <w:r>
        <w:rPr>
          <w:rFonts w:ascii="宋体" w:hAnsi="宋体" w:eastAsia="宋体" w:cs="宋体"/>
          <w:color w:val="auto"/>
          <w:highlight w:val="none"/>
          <w:lang w:val="zh-TW" w:eastAsia="zh-TW"/>
        </w:rPr>
        <w:t>法定代表人：</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 xml:space="preserve"> 职务：</w:t>
      </w:r>
      <w:r>
        <w:rPr>
          <w:rFonts w:ascii="宋体" w:hAnsi="宋体" w:eastAsia="宋体" w:cs="宋体"/>
          <w:color w:val="auto"/>
          <w:highlight w:val="none"/>
          <w:u w:val="single"/>
        </w:rPr>
        <w:t xml:space="preserve">          </w:t>
      </w:r>
    </w:p>
    <w:p w14:paraId="59CC30CA">
      <w:pPr>
        <w:pStyle w:val="194"/>
        <w:spacing w:line="48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法人营业执照注册号：</w:t>
      </w:r>
    </w:p>
    <w:p w14:paraId="4757C657">
      <w:pPr>
        <w:pStyle w:val="194"/>
        <w:spacing w:line="480" w:lineRule="exact"/>
        <w:rPr>
          <w:rFonts w:hint="default" w:ascii="宋体" w:hAnsi="宋体" w:eastAsia="宋体" w:cs="宋体"/>
          <w:color w:val="auto"/>
          <w:highlight w:val="none"/>
        </w:rPr>
      </w:pPr>
    </w:p>
    <w:p w14:paraId="3D444714">
      <w:pPr>
        <w:pStyle w:val="194"/>
        <w:spacing w:line="48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受托人：</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 xml:space="preserve">  性别：男（女）  </w:t>
      </w:r>
    </w:p>
    <w:p w14:paraId="6A140B6D">
      <w:pPr>
        <w:pStyle w:val="194"/>
        <w:spacing w:line="48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年  龄：</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岁              民族：</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族</w:t>
      </w:r>
    </w:p>
    <w:p w14:paraId="30495484">
      <w:pPr>
        <w:pStyle w:val="194"/>
        <w:spacing w:line="480" w:lineRule="exact"/>
        <w:rPr>
          <w:rFonts w:hint="default" w:ascii="宋体" w:hAnsi="宋体" w:eastAsia="宋体" w:cs="宋体"/>
          <w:color w:val="auto"/>
          <w:highlight w:val="none"/>
          <w:u w:val="single"/>
        </w:rPr>
      </w:pPr>
      <w:r>
        <w:rPr>
          <w:rFonts w:ascii="宋体" w:hAnsi="宋体" w:eastAsia="宋体" w:cs="宋体"/>
          <w:color w:val="auto"/>
          <w:highlight w:val="none"/>
          <w:lang w:val="zh-TW" w:eastAsia="zh-TW"/>
        </w:rPr>
        <w:t>职务：</w:t>
      </w:r>
      <w:r>
        <w:rPr>
          <w:rFonts w:ascii="宋体" w:hAnsi="宋体" w:eastAsia="宋体" w:cs="宋体"/>
          <w:color w:val="auto"/>
          <w:highlight w:val="none"/>
          <w:u w:val="single"/>
        </w:rPr>
        <w:t xml:space="preserve">                      </w:t>
      </w:r>
    </w:p>
    <w:p w14:paraId="1ABCDF3E">
      <w:pPr>
        <w:pStyle w:val="194"/>
        <w:spacing w:line="480" w:lineRule="exact"/>
        <w:rPr>
          <w:rFonts w:hint="default" w:ascii="宋体" w:hAnsi="宋体" w:eastAsia="宋体" w:cs="宋体"/>
          <w:color w:val="auto"/>
          <w:highlight w:val="none"/>
          <w:u w:val="single"/>
        </w:rPr>
      </w:pPr>
      <w:r>
        <w:rPr>
          <w:rFonts w:ascii="宋体" w:hAnsi="宋体" w:eastAsia="宋体" w:cs="宋体"/>
          <w:color w:val="auto"/>
          <w:highlight w:val="none"/>
          <w:lang w:val="zh-TW" w:eastAsia="zh-TW"/>
        </w:rPr>
        <w:t>身份证号：</w:t>
      </w:r>
      <w:r>
        <w:rPr>
          <w:rFonts w:ascii="宋体" w:hAnsi="宋体" w:eastAsia="宋体" w:cs="宋体"/>
          <w:color w:val="auto"/>
          <w:highlight w:val="none"/>
          <w:u w:val="single"/>
        </w:rPr>
        <w:t xml:space="preserve">                               </w:t>
      </w:r>
    </w:p>
    <w:p w14:paraId="2CF60D94">
      <w:pPr>
        <w:pStyle w:val="194"/>
        <w:spacing w:line="480" w:lineRule="exact"/>
        <w:rPr>
          <w:rFonts w:hint="default" w:ascii="宋体" w:hAnsi="宋体" w:eastAsia="宋体" w:cs="宋体"/>
          <w:b/>
          <w:bCs/>
          <w:color w:val="auto"/>
          <w:highlight w:val="none"/>
        </w:rPr>
      </w:pPr>
    </w:p>
    <w:p w14:paraId="21CD6814">
      <w:pPr>
        <w:pStyle w:val="194"/>
        <w:spacing w:line="480" w:lineRule="exact"/>
        <w:rPr>
          <w:rFonts w:hint="default" w:ascii="宋体" w:hAnsi="宋体" w:eastAsia="宋体" w:cs="宋体"/>
          <w:color w:val="auto"/>
          <w:highlight w:val="none"/>
          <w:u w:val="single"/>
        </w:rPr>
      </w:pPr>
      <w:r>
        <w:rPr>
          <w:rFonts w:hint="eastAsia" w:ascii="宋体" w:hAnsi="宋体" w:eastAsia="宋体" w:cs="宋体"/>
          <w:b/>
          <w:bCs/>
          <w:color w:val="auto"/>
          <w:highlight w:val="none"/>
          <w:lang w:eastAsia="zh-CN"/>
        </w:rPr>
        <w:t>东海县驼峰乡人民政府</w:t>
      </w:r>
      <w:r>
        <w:rPr>
          <w:rFonts w:ascii="宋体" w:hAnsi="宋体" w:eastAsia="宋体" w:cs="宋体"/>
          <w:b/>
          <w:bCs/>
          <w:color w:val="auto"/>
          <w:highlight w:val="none"/>
          <w:lang w:val="zh-TW" w:eastAsia="zh-TW"/>
        </w:rPr>
        <w:t>：</w:t>
      </w:r>
    </w:p>
    <w:p w14:paraId="3E81C530">
      <w:pPr>
        <w:pStyle w:val="194"/>
        <w:spacing w:line="480" w:lineRule="exact"/>
        <w:ind w:firstLine="420"/>
        <w:rPr>
          <w:rFonts w:hint="default" w:ascii="宋体" w:hAnsi="宋体" w:eastAsia="宋体" w:cs="宋体"/>
          <w:color w:val="auto"/>
          <w:highlight w:val="none"/>
        </w:rPr>
      </w:pPr>
      <w:r>
        <w:rPr>
          <w:rFonts w:ascii="宋体" w:hAnsi="宋体" w:eastAsia="宋体" w:cs="宋体"/>
          <w:color w:val="auto"/>
          <w:highlight w:val="none"/>
          <w:lang w:val="zh-TW" w:eastAsia="zh-TW"/>
        </w:rPr>
        <w:t>兹委托我公司职工</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全权代表我公司参与</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项目的招、投标活动及签订经济合同。</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以我公司名义所为的法律行为及签署的文件，我公司均予以认可。有关法律责任均由我公司（企业）承担。</w:t>
      </w:r>
    </w:p>
    <w:p w14:paraId="1E64CA8B">
      <w:pPr>
        <w:pStyle w:val="194"/>
        <w:spacing w:line="480" w:lineRule="exact"/>
        <w:ind w:firstLine="420"/>
        <w:rPr>
          <w:rFonts w:hint="default" w:ascii="宋体" w:hAnsi="宋体" w:eastAsia="宋体" w:cs="宋体"/>
          <w:color w:val="auto"/>
          <w:highlight w:val="none"/>
        </w:rPr>
      </w:pPr>
      <w:r>
        <w:rPr>
          <w:rFonts w:ascii="宋体" w:hAnsi="宋体" w:eastAsia="宋体" w:cs="宋体"/>
          <w:color w:val="auto"/>
          <w:highlight w:val="none"/>
          <w:lang w:val="zh-TW" w:eastAsia="zh-TW"/>
        </w:rPr>
        <w:t>委托期限自</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年</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月</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 xml:space="preserve">日起至该项目合同签订之日止，本委托权为无转委托权。 </w:t>
      </w:r>
    </w:p>
    <w:p w14:paraId="0C45287F">
      <w:pPr>
        <w:pStyle w:val="194"/>
        <w:spacing w:line="480" w:lineRule="exact"/>
        <w:ind w:firstLine="420"/>
        <w:rPr>
          <w:rFonts w:hint="default" w:ascii="宋体" w:hAnsi="宋体" w:eastAsia="宋体" w:cs="宋体"/>
          <w:color w:val="auto"/>
          <w:highlight w:val="none"/>
        </w:rPr>
      </w:pPr>
      <w:r>
        <w:rPr>
          <w:rFonts w:ascii="宋体" w:hAnsi="宋体" w:eastAsia="宋体" w:cs="宋体"/>
          <w:color w:val="auto"/>
          <w:highlight w:val="none"/>
          <w:lang w:val="zh-TW" w:eastAsia="zh-TW"/>
        </w:rPr>
        <w:t>特此授权委托。</w:t>
      </w:r>
    </w:p>
    <w:p w14:paraId="164554B1">
      <w:pPr>
        <w:pStyle w:val="194"/>
        <w:spacing w:line="480" w:lineRule="exact"/>
        <w:rPr>
          <w:rFonts w:hint="default" w:ascii="宋体" w:hAnsi="宋体" w:eastAsia="宋体" w:cs="宋体"/>
          <w:color w:val="auto"/>
          <w:highlight w:val="none"/>
        </w:rPr>
      </w:pPr>
    </w:p>
    <w:p w14:paraId="01120EAE">
      <w:pPr>
        <w:pStyle w:val="194"/>
        <w:spacing w:line="480" w:lineRule="exact"/>
        <w:rPr>
          <w:rFonts w:hint="default" w:ascii="宋体" w:hAnsi="宋体" w:eastAsia="宋体" w:cs="宋体"/>
          <w:color w:val="auto"/>
          <w:highlight w:val="none"/>
          <w:u w:val="single"/>
        </w:rPr>
      </w:pPr>
      <w:r>
        <w:rPr>
          <w:rFonts w:ascii="宋体" w:hAnsi="宋体" w:eastAsia="宋体" w:cs="宋体"/>
          <w:color w:val="auto"/>
          <w:highlight w:val="none"/>
          <w:lang w:val="zh-TW" w:eastAsia="zh-TW"/>
        </w:rPr>
        <w:t>委托人（公章）：</w:t>
      </w:r>
      <w:r>
        <w:rPr>
          <w:rFonts w:ascii="宋体" w:hAnsi="宋体" w:eastAsia="宋体" w:cs="宋体"/>
          <w:color w:val="auto"/>
          <w:highlight w:val="none"/>
          <w:u w:val="single"/>
        </w:rPr>
        <w:t xml:space="preserve">                     </w:t>
      </w:r>
      <w:r>
        <w:rPr>
          <w:rFonts w:ascii="宋体" w:hAnsi="宋体" w:eastAsia="宋体" w:cs="宋体"/>
          <w:color w:val="auto"/>
          <w:highlight w:val="none"/>
          <w:lang w:val="zh-TW" w:eastAsia="zh-TW"/>
        </w:rPr>
        <w:t>受托人：</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   </w:t>
      </w:r>
    </w:p>
    <w:p w14:paraId="2CE3ADAC">
      <w:pPr>
        <w:pStyle w:val="194"/>
        <w:spacing w:line="48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法定代表人（签字）：</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 </w:t>
      </w:r>
    </w:p>
    <w:p w14:paraId="76C2699A">
      <w:pPr>
        <w:pStyle w:val="194"/>
        <w:spacing w:line="480" w:lineRule="exact"/>
        <w:ind w:firstLine="1155"/>
        <w:rPr>
          <w:rFonts w:hint="default" w:ascii="宋体" w:hAnsi="宋体" w:eastAsia="宋体" w:cs="宋体"/>
          <w:b/>
          <w:bCs/>
          <w:color w:val="auto"/>
          <w:highlight w:val="none"/>
        </w:rPr>
      </w:pPr>
      <w:r>
        <w:rPr>
          <w:rFonts w:ascii="宋体" w:hAnsi="宋体" w:eastAsia="宋体" w:cs="宋体"/>
          <w:color w:val="auto"/>
          <w:highlight w:val="none"/>
          <w:lang w:val="zh-TW" w:eastAsia="zh-TW"/>
        </w:rPr>
        <w:t>年   月   日</w:t>
      </w:r>
    </w:p>
    <w:p w14:paraId="4D15CDC5">
      <w:pPr>
        <w:pStyle w:val="194"/>
        <w:spacing w:line="480" w:lineRule="exact"/>
        <w:rPr>
          <w:rFonts w:hint="default" w:ascii="宋体" w:hAnsi="宋体" w:eastAsia="宋体" w:cs="宋体"/>
          <w:color w:val="auto"/>
          <w:highlight w:val="none"/>
        </w:rPr>
      </w:pPr>
      <w:r>
        <w:rPr>
          <w:rFonts w:ascii="宋体" w:hAnsi="宋体" w:eastAsia="宋体" w:cs="宋体"/>
          <w:color w:val="auto"/>
          <w:highlight w:val="none"/>
          <w:lang w:val="zh-TW" w:eastAsia="zh-TW"/>
        </w:rPr>
        <w:t>附 被委托人（全权代表）身份证：</w:t>
      </w:r>
    </w:p>
    <w:p w14:paraId="1044F42E">
      <w:pPr>
        <w:pStyle w:val="59"/>
        <w:rPr>
          <w:rFonts w:ascii="宋体" w:hAnsi="宋体" w:cs="宋体"/>
          <w:color w:val="auto"/>
          <w:highlight w:val="none"/>
        </w:rPr>
      </w:pPr>
    </w:p>
    <w:p w14:paraId="27A7884B">
      <w:pPr>
        <w:pStyle w:val="194"/>
        <w:spacing w:line="480" w:lineRule="exact"/>
        <w:rPr>
          <w:rFonts w:hint="default" w:ascii="宋体" w:hAnsi="宋体" w:eastAsia="宋体" w:cs="宋体"/>
          <w:color w:val="auto"/>
          <w:highlight w:val="none"/>
        </w:rPr>
      </w:pPr>
    </w:p>
    <w:p w14:paraId="7717AE9D">
      <w:pPr>
        <w:pStyle w:val="194"/>
        <w:spacing w:line="480" w:lineRule="exact"/>
        <w:rPr>
          <w:rFonts w:hint="default" w:ascii="宋体" w:hAnsi="宋体" w:eastAsia="宋体" w:cs="宋体"/>
          <w:color w:val="auto"/>
          <w:highlight w:val="none"/>
        </w:rPr>
      </w:pPr>
    </w:p>
    <w:p w14:paraId="52DF8F79">
      <w:pPr>
        <w:pStyle w:val="194"/>
        <w:spacing w:line="480" w:lineRule="exact"/>
        <w:rPr>
          <w:rFonts w:hint="default" w:ascii="宋体" w:hAnsi="宋体" w:eastAsia="宋体" w:cs="宋体"/>
          <w:color w:val="auto"/>
          <w:highlight w:val="none"/>
        </w:rPr>
      </w:pPr>
    </w:p>
    <w:p w14:paraId="6DB4611F">
      <w:pPr>
        <w:pStyle w:val="194"/>
        <w:spacing w:line="480" w:lineRule="exact"/>
        <w:rPr>
          <w:rFonts w:hint="default" w:ascii="宋体" w:hAnsi="宋体" w:eastAsia="宋体" w:cs="宋体"/>
          <w:color w:val="auto"/>
          <w:highlight w:val="none"/>
        </w:rPr>
      </w:pPr>
    </w:p>
    <w:p w14:paraId="481B0BE2">
      <w:pPr>
        <w:pStyle w:val="194"/>
        <w:widowControl/>
        <w:spacing w:line="400" w:lineRule="exact"/>
        <w:jc w:val="left"/>
        <w:rPr>
          <w:rFonts w:hint="default" w:ascii="宋体" w:hAnsi="宋体" w:eastAsia="宋体" w:cs="宋体"/>
          <w:color w:val="auto"/>
          <w:highlight w:val="none"/>
        </w:rPr>
      </w:pPr>
      <w:r>
        <w:rPr>
          <w:rFonts w:ascii="宋体" w:hAnsi="宋体" w:eastAsia="宋体" w:cs="宋体"/>
          <w:color w:val="auto"/>
          <w:highlight w:val="none"/>
        </w:rPr>
        <mc:AlternateContent>
          <mc:Choice Requires="wps">
            <w:drawing>
              <wp:inline distT="0" distB="0" distL="0" distR="0">
                <wp:extent cx="5048250" cy="1370330"/>
                <wp:effectExtent l="0" t="0" r="0" b="0"/>
                <wp:docPr id="7" name="矩形 7"/>
                <wp:cNvGraphicFramePr/>
                <a:graphic xmlns:a="http://schemas.openxmlformats.org/drawingml/2006/main">
                  <a:graphicData uri="http://schemas.microsoft.com/office/word/2010/wordprocessingShape">
                    <wps:wsp>
                      <wps:cNvSpPr/>
                      <wps:spPr bwMode="auto">
                        <a:xfrm>
                          <a:off x="0" y="0"/>
                          <a:ext cx="5048250" cy="1370330"/>
                        </a:xfrm>
                        <a:prstGeom prst="rect">
                          <a:avLst/>
                        </a:prstGeom>
                        <a:solidFill>
                          <a:srgbClr val="FFFFFF"/>
                        </a:solidFill>
                        <a:ln>
                          <a:solidFill>
                            <a:srgbClr val="000000"/>
                          </a:solidFill>
                          <a:round/>
                        </a:ln>
                      </wps:spPr>
                      <wps:txbx>
                        <w:txbxContent>
                          <w:p w14:paraId="5D261778">
                            <w:pPr>
                              <w:pStyle w:val="194"/>
                              <w:jc w:val="center"/>
                              <w:rPr>
                                <w:rFonts w:hint="default"/>
                              </w:rPr>
                            </w:pPr>
                          </w:p>
                          <w:p w14:paraId="78DEB1FD">
                            <w:pPr>
                              <w:pStyle w:val="194"/>
                              <w:jc w:val="center"/>
                              <w:rPr>
                                <w:rFonts w:hint="default"/>
                              </w:rPr>
                            </w:pPr>
                          </w:p>
                          <w:p w14:paraId="7B751B63">
                            <w:pPr>
                              <w:pStyle w:val="194"/>
                              <w:jc w:val="center"/>
                              <w:rPr>
                                <w:rFonts w:hint="default"/>
                              </w:rPr>
                            </w:pPr>
                          </w:p>
                          <w:p w14:paraId="601A3EC1">
                            <w:pPr>
                              <w:pStyle w:val="194"/>
                              <w:jc w:val="center"/>
                              <w:rPr>
                                <w:rFonts w:hint="default"/>
                              </w:rPr>
                            </w:pPr>
                          </w:p>
                          <w:p w14:paraId="6651F871">
                            <w:pPr>
                              <w:pStyle w:val="194"/>
                              <w:jc w:val="center"/>
                              <w:rPr>
                                <w:rFonts w:hint="default"/>
                              </w:rPr>
                            </w:pPr>
                          </w:p>
                          <w:p w14:paraId="0C48D75A">
                            <w:pPr>
                              <w:pStyle w:val="194"/>
                              <w:jc w:val="center"/>
                              <w:rPr>
                                <w:rFonts w:hint="default"/>
                              </w:rPr>
                            </w:pPr>
                            <w:r>
                              <w:rPr>
                                <w:rFonts w:ascii="宋体" w:hAnsi="宋体" w:eastAsia="宋体" w:cs="宋体"/>
                                <w:sz w:val="24"/>
                                <w:szCs w:val="24"/>
                                <w:lang w:val="zh-TW" w:eastAsia="zh-TW"/>
                              </w:rPr>
                              <w:t>身份证粘贴处</w:t>
                            </w:r>
                          </w:p>
                        </w:txbxContent>
                      </wps:txbx>
                      <wps:bodyPr wrap="square" lIns="45719" tIns="45719" rIns="45719" bIns="45719" upright="1"/>
                    </wps:wsp>
                  </a:graphicData>
                </a:graphic>
              </wp:inline>
            </w:drawing>
          </mc:Choice>
          <mc:Fallback>
            <w:pict>
              <v:rect id="_x0000_s1026" o:spid="_x0000_s1026" o:spt="1" style="height:107.9pt;width:397.5pt;" fillcolor="#FFFFFF" filled="t" stroked="t" coordsize="21600,21600" o:gfxdata="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q5T0PUAAAA&#10;BQEAAA8AAAAAAAAAAQAgAAAAIgAAAGRycy9kb3ducmV2LnhtbFBLAQIUABQAAAAIAIdO4kCTOmkf&#10;6AEAAO4DAAAOAAAAAAAAAAEAIAAAACMBAABkcnMvZTJvRG9jLnhtbFBLBQYAAAAABgAGAFkBAAB9&#10;BQAAAAA=&#10;">
                <v:fill on="t" focussize="0,0"/>
                <v:stroke color="#000000" joinstyle="round"/>
                <v:imagedata o:title=""/>
                <o:lock v:ext="edit" aspectratio="f"/>
                <v:textbox inset="3.59992125984252pt,3.59992125984252pt,3.59992125984252pt,3.59992125984252pt">
                  <w:txbxContent>
                    <w:p w14:paraId="5D261778">
                      <w:pPr>
                        <w:pStyle w:val="194"/>
                        <w:jc w:val="center"/>
                        <w:rPr>
                          <w:rFonts w:hint="default"/>
                        </w:rPr>
                      </w:pPr>
                    </w:p>
                    <w:p w14:paraId="78DEB1FD">
                      <w:pPr>
                        <w:pStyle w:val="194"/>
                        <w:jc w:val="center"/>
                        <w:rPr>
                          <w:rFonts w:hint="default"/>
                        </w:rPr>
                      </w:pPr>
                    </w:p>
                    <w:p w14:paraId="7B751B63">
                      <w:pPr>
                        <w:pStyle w:val="194"/>
                        <w:jc w:val="center"/>
                        <w:rPr>
                          <w:rFonts w:hint="default"/>
                        </w:rPr>
                      </w:pPr>
                    </w:p>
                    <w:p w14:paraId="601A3EC1">
                      <w:pPr>
                        <w:pStyle w:val="194"/>
                        <w:jc w:val="center"/>
                        <w:rPr>
                          <w:rFonts w:hint="default"/>
                        </w:rPr>
                      </w:pPr>
                    </w:p>
                    <w:p w14:paraId="6651F871">
                      <w:pPr>
                        <w:pStyle w:val="194"/>
                        <w:jc w:val="center"/>
                        <w:rPr>
                          <w:rFonts w:hint="default"/>
                        </w:rPr>
                      </w:pPr>
                    </w:p>
                    <w:p w14:paraId="0C48D75A">
                      <w:pPr>
                        <w:pStyle w:val="194"/>
                        <w:jc w:val="center"/>
                        <w:rPr>
                          <w:rFonts w:hint="default"/>
                        </w:rPr>
                      </w:pPr>
                      <w:r>
                        <w:rPr>
                          <w:rFonts w:ascii="宋体" w:hAnsi="宋体" w:eastAsia="宋体" w:cs="宋体"/>
                          <w:sz w:val="24"/>
                          <w:szCs w:val="24"/>
                          <w:lang w:val="zh-TW" w:eastAsia="zh-TW"/>
                        </w:rPr>
                        <w:t>身份证粘贴处</w:t>
                      </w:r>
                    </w:p>
                  </w:txbxContent>
                </v:textbox>
                <w10:wrap type="none"/>
                <w10:anchorlock/>
              </v:rect>
            </w:pict>
          </mc:Fallback>
        </mc:AlternateContent>
      </w:r>
    </w:p>
    <w:p w14:paraId="7806D577">
      <w:pPr>
        <w:pStyle w:val="196"/>
        <w:ind w:firstLine="0"/>
        <w:rPr>
          <w:rFonts w:ascii="宋体" w:hAnsi="宋体" w:cs="宋体"/>
          <w:color w:val="auto"/>
          <w:highlight w:val="none"/>
        </w:rPr>
      </w:pPr>
    </w:p>
    <w:p w14:paraId="23E2371A">
      <w:pPr>
        <w:rPr>
          <w:color w:val="auto"/>
          <w:highlight w:val="none"/>
        </w:rPr>
      </w:pPr>
    </w:p>
    <w:p w14:paraId="1A34E95F">
      <w:pPr>
        <w:spacing w:line="460" w:lineRule="exact"/>
        <w:jc w:val="center"/>
        <w:rPr>
          <w:b/>
          <w:bCs/>
          <w:i/>
          <w:iCs/>
          <w:color w:val="auto"/>
          <w:szCs w:val="21"/>
          <w:highlight w:val="none"/>
          <w:u w:val="single"/>
        </w:rPr>
      </w:pPr>
      <w:r>
        <w:rPr>
          <w:b/>
          <w:bCs/>
          <w:i/>
          <w:iCs/>
          <w:color w:val="auto"/>
          <w:szCs w:val="21"/>
          <w:highlight w:val="none"/>
          <w:u w:val="single"/>
        </w:rPr>
        <w:t>企业无</w:t>
      </w:r>
      <w:r>
        <w:rPr>
          <w:rFonts w:hint="eastAsia"/>
          <w:b/>
          <w:bCs/>
          <w:i/>
          <w:iCs/>
          <w:color w:val="auto"/>
          <w:szCs w:val="21"/>
          <w:highlight w:val="none"/>
          <w:u w:val="single"/>
        </w:rPr>
        <w:t>行贿</w:t>
      </w:r>
      <w:r>
        <w:rPr>
          <w:b/>
          <w:bCs/>
          <w:i/>
          <w:iCs/>
          <w:color w:val="auto"/>
          <w:szCs w:val="21"/>
          <w:highlight w:val="none"/>
          <w:u w:val="single"/>
        </w:rPr>
        <w:t>、无挂牌行为承诺书格式</w:t>
      </w:r>
    </w:p>
    <w:p w14:paraId="020B6605">
      <w:pPr>
        <w:spacing w:line="460" w:lineRule="exact"/>
        <w:rPr>
          <w:color w:val="auto"/>
          <w:szCs w:val="21"/>
          <w:highlight w:val="none"/>
          <w:u w:val="single"/>
        </w:rPr>
      </w:pPr>
    </w:p>
    <w:p w14:paraId="6303831D">
      <w:pPr>
        <w:ind w:firstLine="0"/>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致：（采购人名称）：</w:t>
      </w:r>
    </w:p>
    <w:p w14:paraId="66FED1D3">
      <w:pPr>
        <w:ind w:firstLine="420"/>
        <w:rPr>
          <w:rFonts w:ascii="宋体" w:hAnsi="宋体" w:cs="宋体"/>
          <w:color w:val="auto"/>
          <w:sz w:val="21"/>
          <w:szCs w:val="21"/>
          <w:highlight w:val="none"/>
        </w:rPr>
      </w:pPr>
      <w:r>
        <w:rPr>
          <w:rFonts w:hint="eastAsia" w:ascii="宋体" w:hAnsi="宋体" w:cs="宋体"/>
          <w:color w:val="auto"/>
          <w:sz w:val="21"/>
          <w:szCs w:val="21"/>
          <w:highlight w:val="none"/>
        </w:rPr>
        <w:t>我公司参与贵单位</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项目的磋商，我单位郑重承诺：</w:t>
      </w:r>
    </w:p>
    <w:p w14:paraId="1D802BE6">
      <w:pPr>
        <w:ind w:firstLine="420"/>
        <w:rPr>
          <w:rFonts w:ascii="宋体" w:hAnsi="宋体" w:cs="宋体"/>
          <w:color w:val="auto"/>
          <w:sz w:val="21"/>
          <w:szCs w:val="21"/>
          <w:highlight w:val="none"/>
        </w:rPr>
      </w:pPr>
      <w:r>
        <w:rPr>
          <w:rFonts w:hint="eastAsia" w:ascii="宋体" w:hAnsi="宋体" w:cs="宋体"/>
          <w:color w:val="auto"/>
          <w:sz w:val="21"/>
          <w:szCs w:val="21"/>
          <w:highlight w:val="none"/>
        </w:rPr>
        <w:t>1、绝不出借挂靠，无借牌挂靠行为；</w:t>
      </w:r>
    </w:p>
    <w:p w14:paraId="63A87A9E">
      <w:pPr>
        <w:ind w:firstLine="420"/>
        <w:rPr>
          <w:rFonts w:ascii="宋体" w:hAnsi="宋体" w:cs="宋体"/>
          <w:color w:val="auto"/>
          <w:sz w:val="21"/>
          <w:szCs w:val="21"/>
          <w:highlight w:val="none"/>
        </w:rPr>
      </w:pPr>
      <w:r>
        <w:rPr>
          <w:rFonts w:hint="eastAsia" w:ascii="宋体" w:hAnsi="宋体" w:cs="宋体"/>
          <w:color w:val="auto"/>
          <w:sz w:val="21"/>
          <w:szCs w:val="21"/>
          <w:highlight w:val="none"/>
        </w:rPr>
        <w:t>2、法定代表人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近3年，项目负责人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近3年无行贿行为；</w:t>
      </w:r>
    </w:p>
    <w:p w14:paraId="043E7557">
      <w:pPr>
        <w:ind w:firstLine="420"/>
        <w:rPr>
          <w:rFonts w:ascii="宋体" w:hAnsi="宋体" w:cs="宋体"/>
          <w:color w:val="auto"/>
          <w:sz w:val="21"/>
          <w:szCs w:val="21"/>
          <w:highlight w:val="none"/>
        </w:rPr>
      </w:pPr>
      <w:r>
        <w:rPr>
          <w:rFonts w:hint="eastAsia" w:ascii="宋体" w:hAnsi="宋体" w:cs="宋体"/>
          <w:color w:val="auto"/>
          <w:sz w:val="21"/>
          <w:szCs w:val="21"/>
          <w:highlight w:val="none"/>
        </w:rPr>
        <w:t>3、磋商全过程（含质疑、投诉环节）出示的文件资料均是真实、有效的。</w:t>
      </w:r>
    </w:p>
    <w:p w14:paraId="2471DC3D">
      <w:pPr>
        <w:ind w:firstLine="420"/>
        <w:jc w:val="left"/>
        <w:rPr>
          <w:rFonts w:ascii="宋体" w:hAnsi="宋体" w:cs="宋体"/>
          <w:color w:val="auto"/>
          <w:sz w:val="21"/>
          <w:szCs w:val="21"/>
          <w:highlight w:val="none"/>
        </w:rPr>
      </w:pPr>
      <w:r>
        <w:rPr>
          <w:rFonts w:hint="eastAsia" w:ascii="宋体" w:hAnsi="宋体" w:cs="宋体"/>
          <w:color w:val="auto"/>
          <w:sz w:val="21"/>
          <w:szCs w:val="21"/>
          <w:highlight w:val="none"/>
        </w:rPr>
        <w:t>综上，我单位承诺如有虚假，愿意无条件接受被取消磋商或中标资格、磋商保证金不予退还、履约保证金不予退还、合同解除及清除出场，一切损失由我单位自行承担，同时愿意接受相关处罚，特此承诺！</w:t>
      </w:r>
    </w:p>
    <w:p w14:paraId="516351A5">
      <w:pPr>
        <w:spacing w:line="460" w:lineRule="exact"/>
        <w:ind w:firstLine="420"/>
        <w:rPr>
          <w:rFonts w:ascii="宋体" w:hAnsi="宋体" w:cs="宋体"/>
          <w:color w:val="auto"/>
          <w:sz w:val="21"/>
          <w:szCs w:val="21"/>
          <w:highlight w:val="none"/>
        </w:rPr>
      </w:pPr>
    </w:p>
    <w:p w14:paraId="6874EB2F">
      <w:pPr>
        <w:spacing w:line="460" w:lineRule="exact"/>
        <w:ind w:firstLine="420"/>
        <w:jc w:val="right"/>
        <w:rPr>
          <w:rFonts w:ascii="宋体" w:hAnsi="宋体" w:cs="宋体"/>
          <w:color w:val="auto"/>
          <w:sz w:val="21"/>
          <w:szCs w:val="21"/>
          <w:highlight w:val="none"/>
        </w:rPr>
      </w:pPr>
      <w:r>
        <w:rPr>
          <w:rFonts w:hint="eastAsia" w:ascii="宋体" w:hAnsi="宋体" w:cs="宋体"/>
          <w:color w:val="auto"/>
          <w:sz w:val="21"/>
          <w:szCs w:val="21"/>
          <w:highlight w:val="none"/>
        </w:rPr>
        <w:t>供  应  商：（盖      章）</w:t>
      </w:r>
    </w:p>
    <w:p w14:paraId="7EA7B9DE">
      <w:pPr>
        <w:spacing w:line="460" w:lineRule="exact"/>
        <w:ind w:firstLine="420"/>
        <w:jc w:val="right"/>
        <w:rPr>
          <w:rFonts w:ascii="宋体" w:hAnsi="宋体" w:cs="宋体"/>
          <w:color w:val="auto"/>
          <w:sz w:val="21"/>
          <w:szCs w:val="21"/>
          <w:highlight w:val="none"/>
        </w:rPr>
      </w:pPr>
    </w:p>
    <w:p w14:paraId="134D2D75">
      <w:pPr>
        <w:spacing w:line="460" w:lineRule="exact"/>
        <w:ind w:firstLine="420"/>
        <w:jc w:val="right"/>
        <w:rPr>
          <w:rFonts w:ascii="宋体" w:hAnsi="宋体" w:cs="宋体"/>
          <w:color w:val="auto"/>
          <w:sz w:val="21"/>
          <w:szCs w:val="21"/>
          <w:highlight w:val="none"/>
        </w:rPr>
      </w:pPr>
      <w:r>
        <w:rPr>
          <w:rFonts w:hint="eastAsia" w:ascii="宋体" w:hAnsi="宋体" w:cs="宋体"/>
          <w:color w:val="auto"/>
          <w:sz w:val="21"/>
          <w:szCs w:val="21"/>
          <w:highlight w:val="none"/>
        </w:rPr>
        <w:t>法定代表人：（签字或盖章）</w:t>
      </w:r>
    </w:p>
    <w:p w14:paraId="1745D045">
      <w:pPr>
        <w:spacing w:line="460" w:lineRule="exact"/>
        <w:ind w:firstLine="420"/>
        <w:jc w:val="right"/>
        <w:rPr>
          <w:rFonts w:ascii="宋体" w:hAnsi="宋体" w:cs="宋体"/>
          <w:color w:val="auto"/>
          <w:sz w:val="21"/>
          <w:szCs w:val="21"/>
          <w:highlight w:val="none"/>
        </w:rPr>
      </w:pPr>
    </w:p>
    <w:p w14:paraId="1B9D6F95">
      <w:pPr>
        <w:spacing w:line="460" w:lineRule="exact"/>
        <w:ind w:firstLine="420"/>
        <w:jc w:val="right"/>
        <w:rPr>
          <w:rFonts w:ascii="宋体" w:hAnsi="宋体" w:cs="宋体"/>
          <w:color w:val="auto"/>
          <w:sz w:val="21"/>
          <w:szCs w:val="21"/>
          <w:highlight w:val="none"/>
        </w:rPr>
      </w:pPr>
      <w:r>
        <w:rPr>
          <w:rFonts w:hint="eastAsia" w:ascii="宋体" w:hAnsi="宋体" w:cs="宋体"/>
          <w:color w:val="auto"/>
          <w:sz w:val="21"/>
          <w:szCs w:val="21"/>
          <w:highlight w:val="none"/>
        </w:rPr>
        <w:t>日期：      年   月   日</w:t>
      </w:r>
    </w:p>
    <w:p w14:paraId="7F4C7F94">
      <w:pPr>
        <w:spacing w:line="180" w:lineRule="auto"/>
        <w:ind w:firstLine="3465"/>
        <w:rPr>
          <w:color w:val="auto"/>
          <w:szCs w:val="21"/>
          <w:highlight w:val="none"/>
        </w:rPr>
      </w:pPr>
    </w:p>
    <w:p w14:paraId="6B44B6E5">
      <w:pPr>
        <w:pStyle w:val="33"/>
        <w:spacing w:line="480" w:lineRule="auto"/>
        <w:jc w:val="center"/>
        <w:rPr>
          <w:rFonts w:ascii="Times New Roman"/>
          <w:b/>
          <w:bCs/>
          <w:color w:val="auto"/>
          <w:sz w:val="21"/>
          <w:szCs w:val="21"/>
          <w:highlight w:val="none"/>
        </w:rPr>
      </w:pPr>
    </w:p>
    <w:p w14:paraId="725F7A50">
      <w:pPr>
        <w:pStyle w:val="21"/>
        <w:shd w:val="clear" w:color="auto" w:fill="FFFFFF"/>
        <w:spacing w:line="300" w:lineRule="auto"/>
        <w:rPr>
          <w:rFonts w:ascii="Times New Roman"/>
          <w:b/>
          <w:bCs/>
          <w:color w:val="auto"/>
          <w:sz w:val="32"/>
          <w:szCs w:val="32"/>
          <w:highlight w:val="none"/>
        </w:rPr>
      </w:pPr>
      <w:r>
        <w:rPr>
          <w:b/>
          <w:color w:val="auto"/>
          <w:szCs w:val="21"/>
          <w:highlight w:val="none"/>
        </w:rPr>
        <w:t xml:space="preserve">  注:</w:t>
      </w:r>
      <w:r>
        <w:rPr>
          <w:rFonts w:hint="eastAsia"/>
          <w:b/>
          <w:color w:val="auto"/>
          <w:szCs w:val="21"/>
          <w:highlight w:val="none"/>
        </w:rPr>
        <w:t>供应商</w:t>
      </w:r>
      <w:r>
        <w:rPr>
          <w:b/>
          <w:color w:val="auto"/>
          <w:szCs w:val="21"/>
          <w:highlight w:val="none"/>
        </w:rPr>
        <w:t>未盖章、法定代表人未签字或盖章的此承诺书无效。</w:t>
      </w:r>
    </w:p>
    <w:p w14:paraId="428D2A0F">
      <w:pPr>
        <w:widowControl/>
        <w:spacing w:line="440" w:lineRule="exact"/>
        <w:jc w:val="center"/>
        <w:rPr>
          <w:rStyle w:val="563"/>
          <w:rFonts w:ascii="宋体" w:hAnsi="宋体"/>
          <w:b/>
          <w:bCs/>
          <w:color w:val="auto"/>
          <w:highlight w:val="none"/>
        </w:rPr>
      </w:pPr>
    </w:p>
    <w:p w14:paraId="192EBBE6">
      <w:pPr>
        <w:widowControl/>
        <w:spacing w:line="440" w:lineRule="exact"/>
        <w:jc w:val="center"/>
        <w:rPr>
          <w:rStyle w:val="563"/>
          <w:rFonts w:ascii="宋体" w:hAnsi="宋体"/>
          <w:b/>
          <w:bCs/>
          <w:color w:val="auto"/>
          <w:highlight w:val="none"/>
        </w:rPr>
      </w:pPr>
    </w:p>
    <w:p w14:paraId="10D0D874">
      <w:pPr>
        <w:widowControl/>
        <w:spacing w:line="440" w:lineRule="exact"/>
        <w:jc w:val="center"/>
        <w:rPr>
          <w:rStyle w:val="563"/>
          <w:rFonts w:ascii="宋体" w:hAnsi="宋体"/>
          <w:b/>
          <w:bCs/>
          <w:color w:val="auto"/>
          <w:highlight w:val="none"/>
        </w:rPr>
      </w:pPr>
    </w:p>
    <w:p w14:paraId="176D5DAC">
      <w:pPr>
        <w:widowControl/>
        <w:spacing w:line="440" w:lineRule="exact"/>
        <w:jc w:val="center"/>
        <w:rPr>
          <w:rStyle w:val="563"/>
          <w:rFonts w:ascii="宋体" w:hAnsi="宋体"/>
          <w:b/>
          <w:bCs/>
          <w:color w:val="auto"/>
          <w:highlight w:val="none"/>
        </w:rPr>
      </w:pPr>
    </w:p>
    <w:p w14:paraId="2C819781">
      <w:pPr>
        <w:widowControl/>
        <w:spacing w:line="440" w:lineRule="exact"/>
        <w:jc w:val="center"/>
        <w:rPr>
          <w:rStyle w:val="563"/>
          <w:rFonts w:ascii="宋体" w:hAnsi="宋体"/>
          <w:b/>
          <w:bCs/>
          <w:color w:val="auto"/>
          <w:highlight w:val="none"/>
        </w:rPr>
      </w:pPr>
    </w:p>
    <w:p w14:paraId="1D3E1670">
      <w:pPr>
        <w:widowControl/>
        <w:spacing w:line="440" w:lineRule="exact"/>
        <w:jc w:val="center"/>
        <w:rPr>
          <w:rStyle w:val="563"/>
          <w:rFonts w:ascii="宋体" w:hAnsi="宋体"/>
          <w:b/>
          <w:bCs/>
          <w:color w:val="auto"/>
          <w:highlight w:val="none"/>
        </w:rPr>
      </w:pPr>
    </w:p>
    <w:p w14:paraId="37C06329">
      <w:pPr>
        <w:widowControl/>
        <w:spacing w:line="440" w:lineRule="exact"/>
        <w:jc w:val="center"/>
        <w:rPr>
          <w:rStyle w:val="563"/>
          <w:rFonts w:ascii="宋体" w:hAnsi="宋体"/>
          <w:b/>
          <w:bCs/>
          <w:color w:val="auto"/>
          <w:highlight w:val="none"/>
        </w:rPr>
      </w:pPr>
    </w:p>
    <w:p w14:paraId="1E9E4F3E">
      <w:pPr>
        <w:widowControl/>
        <w:spacing w:line="440" w:lineRule="exact"/>
        <w:jc w:val="center"/>
        <w:rPr>
          <w:rStyle w:val="563"/>
          <w:rFonts w:ascii="宋体" w:hAnsi="宋体"/>
          <w:b/>
          <w:bCs/>
          <w:color w:val="auto"/>
          <w:highlight w:val="none"/>
        </w:rPr>
      </w:pPr>
    </w:p>
    <w:p w14:paraId="5DEF72B9">
      <w:pPr>
        <w:widowControl/>
        <w:spacing w:line="440" w:lineRule="exact"/>
        <w:jc w:val="center"/>
        <w:rPr>
          <w:rStyle w:val="563"/>
          <w:rFonts w:ascii="宋体" w:hAnsi="宋体"/>
          <w:b/>
          <w:bCs/>
          <w:color w:val="auto"/>
          <w:highlight w:val="none"/>
        </w:rPr>
      </w:pPr>
    </w:p>
    <w:p w14:paraId="6273F7C5">
      <w:pPr>
        <w:widowControl/>
        <w:spacing w:line="440" w:lineRule="exact"/>
        <w:jc w:val="center"/>
        <w:rPr>
          <w:rStyle w:val="563"/>
          <w:rFonts w:ascii="宋体" w:hAnsi="宋体"/>
          <w:b/>
          <w:bCs/>
          <w:color w:val="auto"/>
          <w:highlight w:val="none"/>
        </w:rPr>
      </w:pPr>
    </w:p>
    <w:p w14:paraId="76863FDE">
      <w:pPr>
        <w:widowControl/>
        <w:spacing w:line="440" w:lineRule="exact"/>
        <w:jc w:val="center"/>
        <w:rPr>
          <w:rStyle w:val="563"/>
          <w:rFonts w:ascii="宋体" w:hAnsi="宋体"/>
          <w:b/>
          <w:bCs/>
          <w:color w:val="auto"/>
          <w:highlight w:val="none"/>
        </w:rPr>
      </w:pPr>
    </w:p>
    <w:p w14:paraId="65E1AA78">
      <w:pPr>
        <w:widowControl/>
        <w:spacing w:line="440" w:lineRule="exact"/>
        <w:jc w:val="center"/>
        <w:rPr>
          <w:rStyle w:val="563"/>
          <w:rFonts w:ascii="宋体" w:hAnsi="宋体"/>
          <w:b/>
          <w:bCs/>
          <w:color w:val="auto"/>
          <w:highlight w:val="none"/>
        </w:rPr>
      </w:pPr>
    </w:p>
    <w:p w14:paraId="62B02CE1">
      <w:pPr>
        <w:widowControl/>
        <w:spacing w:line="440" w:lineRule="exact"/>
        <w:jc w:val="center"/>
        <w:rPr>
          <w:rStyle w:val="563"/>
          <w:rFonts w:ascii="宋体" w:hAnsi="宋体"/>
          <w:b/>
          <w:bCs/>
          <w:color w:val="auto"/>
          <w:highlight w:val="none"/>
        </w:rPr>
      </w:pPr>
    </w:p>
    <w:p w14:paraId="32E0C08B">
      <w:pPr>
        <w:spacing w:line="360" w:lineRule="auto"/>
        <w:ind w:firstLine="720"/>
        <w:jc w:val="center"/>
        <w:rPr>
          <w:rFonts w:cs="宋体" w:asciiTheme="minorEastAsia" w:hAnsiTheme="minorEastAsia" w:eastAsiaTheme="minorEastAsia"/>
          <w:bCs/>
          <w:i/>
          <w:iCs/>
          <w:color w:val="auto"/>
          <w:sz w:val="36"/>
          <w:szCs w:val="28"/>
          <w:highlight w:val="none"/>
          <w:u w:val="single"/>
        </w:rPr>
      </w:pPr>
      <w:r>
        <w:rPr>
          <w:rFonts w:hint="eastAsia" w:cs="宋体" w:asciiTheme="minorEastAsia" w:hAnsiTheme="minorEastAsia" w:eastAsiaTheme="minorEastAsia"/>
          <w:bCs/>
          <w:i/>
          <w:iCs/>
          <w:color w:val="auto"/>
          <w:sz w:val="36"/>
          <w:szCs w:val="28"/>
          <w:highlight w:val="none"/>
          <w:u w:val="single"/>
        </w:rPr>
        <w:t>中小企业声明函</w:t>
      </w:r>
    </w:p>
    <w:p w14:paraId="56679E34">
      <w:pPr>
        <w:spacing w:line="360" w:lineRule="auto"/>
        <w:ind w:firstLine="480"/>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本公司郑重声明，根据《政府采购促进中小企业发展管理办法》（财库﹝2020﹞46号）的规定，本公司参加</w:t>
      </w:r>
      <w:r>
        <w:rPr>
          <w:rFonts w:cs="Times New Roman" w:asciiTheme="minorEastAsia" w:hAnsiTheme="minorEastAsia" w:eastAsiaTheme="minorEastAsia"/>
          <w:color w:val="auto"/>
          <w:sz w:val="24"/>
          <w:szCs w:val="24"/>
          <w:highlight w:val="none"/>
          <w:u w:val="single"/>
        </w:rPr>
        <w:t>（单位名称）</w:t>
      </w:r>
      <w:r>
        <w:rPr>
          <w:rFonts w:cs="Times New Roman" w:asciiTheme="minorEastAsia" w:hAnsiTheme="minorEastAsia" w:eastAsiaTheme="minorEastAsia"/>
          <w:color w:val="auto"/>
          <w:sz w:val="24"/>
          <w:szCs w:val="24"/>
          <w:highlight w:val="none"/>
        </w:rPr>
        <w:t>的</w:t>
      </w:r>
      <w:r>
        <w:rPr>
          <w:rFonts w:cs="Times New Roman" w:asciiTheme="minorEastAsia" w:hAnsiTheme="minorEastAsia" w:eastAsiaTheme="minorEastAsia"/>
          <w:color w:val="auto"/>
          <w:sz w:val="24"/>
          <w:szCs w:val="24"/>
          <w:highlight w:val="none"/>
          <w:u w:val="single"/>
        </w:rPr>
        <w:t>（项目名称）</w:t>
      </w:r>
      <w:r>
        <w:rPr>
          <w:rFonts w:cs="Times New Roman" w:asciiTheme="minorEastAsia" w:hAnsiTheme="minorEastAsia" w:eastAsiaTheme="minorEastAsia"/>
          <w:color w:val="auto"/>
          <w:sz w:val="24"/>
          <w:szCs w:val="24"/>
          <w:highlight w:val="none"/>
        </w:rPr>
        <w:t>采购活动，服务全部由符合政策要求的中小企业承接。</w:t>
      </w:r>
    </w:p>
    <w:p w14:paraId="131C28FD">
      <w:pPr>
        <w:spacing w:line="360" w:lineRule="auto"/>
        <w:ind w:firstLine="480"/>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u w:val="single"/>
        </w:rPr>
        <w:t xml:space="preserve">（标的名称） </w:t>
      </w:r>
      <w:r>
        <w:rPr>
          <w:rFonts w:cs="Times New Roman" w:asciiTheme="minorEastAsia" w:hAnsiTheme="minorEastAsia" w:eastAsiaTheme="minorEastAsia"/>
          <w:color w:val="auto"/>
          <w:sz w:val="24"/>
          <w:szCs w:val="24"/>
          <w:highlight w:val="none"/>
        </w:rPr>
        <w:t>，属于</w:t>
      </w:r>
      <w:r>
        <w:rPr>
          <w:rFonts w:cs="Times New Roman" w:asciiTheme="minorEastAsia" w:hAnsiTheme="minorEastAsia" w:eastAsiaTheme="minorEastAsia"/>
          <w:color w:val="auto"/>
          <w:sz w:val="24"/>
          <w:szCs w:val="24"/>
          <w:highlight w:val="none"/>
          <w:u w:val="single"/>
        </w:rPr>
        <w:t xml:space="preserve">（采购文件中明确的所属行业） </w:t>
      </w:r>
      <w:r>
        <w:rPr>
          <w:rFonts w:cs="Times New Roman" w:asciiTheme="minorEastAsia" w:hAnsiTheme="minorEastAsia" w:eastAsiaTheme="minorEastAsia"/>
          <w:color w:val="auto"/>
          <w:sz w:val="24"/>
          <w:szCs w:val="24"/>
          <w:highlight w:val="none"/>
        </w:rPr>
        <w:t>行业；</w:t>
      </w:r>
      <w:r>
        <w:rPr>
          <w:rFonts w:hint="eastAsia" w:cs="Times New Roman" w:asciiTheme="minorEastAsia" w:hAnsiTheme="minorEastAsia" w:eastAsiaTheme="minorEastAsia"/>
          <w:color w:val="auto"/>
          <w:sz w:val="24"/>
          <w:szCs w:val="24"/>
          <w:highlight w:val="none"/>
        </w:rPr>
        <w:t>承接企业</w:t>
      </w:r>
      <w:r>
        <w:rPr>
          <w:rFonts w:cs="Times New Roman" w:asciiTheme="minorEastAsia" w:hAnsiTheme="minorEastAsia" w:eastAsiaTheme="minorEastAsia"/>
          <w:color w:val="auto"/>
          <w:sz w:val="24"/>
          <w:szCs w:val="24"/>
          <w:highlight w:val="none"/>
        </w:rPr>
        <w:t>为</w:t>
      </w:r>
      <w:r>
        <w:rPr>
          <w:rFonts w:cs="Times New Roman" w:asciiTheme="minorEastAsia" w:hAnsiTheme="minorEastAsia" w:eastAsiaTheme="minorEastAsia"/>
          <w:color w:val="auto"/>
          <w:sz w:val="24"/>
          <w:szCs w:val="24"/>
          <w:highlight w:val="none"/>
          <w:u w:val="single"/>
        </w:rPr>
        <w:t>（企业名称）</w:t>
      </w:r>
      <w:r>
        <w:rPr>
          <w:rFonts w:cs="Times New Roman" w:asciiTheme="minorEastAsia" w:hAnsiTheme="minorEastAsia" w:eastAsiaTheme="minorEastAsia"/>
          <w:color w:val="auto"/>
          <w:sz w:val="24"/>
          <w:szCs w:val="24"/>
          <w:highlight w:val="none"/>
        </w:rPr>
        <w:t>，从业人员</w:t>
      </w:r>
      <w:r>
        <w:rPr>
          <w:rFonts w:hint="eastAsia" w:cs="Times New Roman" w:asciiTheme="minorEastAsia" w:hAnsiTheme="minorEastAsia" w:eastAsiaTheme="minorEastAsia"/>
          <w:color w:val="auto"/>
          <w:sz w:val="24"/>
          <w:szCs w:val="24"/>
          <w:highlight w:val="none"/>
          <w:u w:val="single"/>
          <w:lang w:val="en-US" w:eastAsia="zh-CN"/>
        </w:rPr>
        <w:t xml:space="preserve">     </w:t>
      </w:r>
      <w:r>
        <w:rPr>
          <w:rFonts w:cs="Times New Roman" w:asciiTheme="minorEastAsia" w:hAnsiTheme="minorEastAsia" w:eastAsiaTheme="minorEastAsia"/>
          <w:color w:val="auto"/>
          <w:sz w:val="24"/>
          <w:szCs w:val="24"/>
          <w:highlight w:val="none"/>
        </w:rPr>
        <w:t>人，营业收入为</w:t>
      </w:r>
      <w:r>
        <w:rPr>
          <w:rFonts w:hint="eastAsia" w:cs="Times New Roman" w:asciiTheme="minorEastAsia" w:hAnsiTheme="minorEastAsia" w:eastAsiaTheme="minorEastAsia"/>
          <w:color w:val="auto"/>
          <w:sz w:val="24"/>
          <w:szCs w:val="24"/>
          <w:highlight w:val="none"/>
          <w:u w:val="single"/>
          <w:lang w:val="en-US" w:eastAsia="zh-CN"/>
        </w:rPr>
        <w:t xml:space="preserve">    </w:t>
      </w:r>
      <w:r>
        <w:rPr>
          <w:rFonts w:cs="Times New Roman" w:asciiTheme="minorEastAsia" w:hAnsiTheme="minorEastAsia" w:eastAsiaTheme="minorEastAsia"/>
          <w:color w:val="auto"/>
          <w:sz w:val="24"/>
          <w:szCs w:val="24"/>
          <w:highlight w:val="none"/>
        </w:rPr>
        <w:t>万元，资产总额为</w:t>
      </w:r>
      <w:r>
        <w:rPr>
          <w:rFonts w:hint="eastAsia" w:cs="Times New Roman" w:asciiTheme="minorEastAsia" w:hAnsiTheme="minorEastAsia" w:eastAsiaTheme="minorEastAsia"/>
          <w:color w:val="auto"/>
          <w:sz w:val="24"/>
          <w:szCs w:val="24"/>
          <w:highlight w:val="none"/>
          <w:u w:val="single"/>
          <w:lang w:val="en-US" w:eastAsia="zh-CN"/>
        </w:rPr>
        <w:t xml:space="preserve">    </w:t>
      </w:r>
      <w:r>
        <w:rPr>
          <w:rFonts w:hint="eastAsia" w:cs="Times New Roman" w:asciiTheme="minorEastAsia" w:hAnsiTheme="minorEastAsia" w:eastAsiaTheme="minorEastAsia"/>
          <w:color w:val="auto"/>
          <w:sz w:val="24"/>
          <w:szCs w:val="24"/>
          <w:highlight w:val="none"/>
          <w:lang w:val="en-US" w:eastAsia="zh-CN"/>
        </w:rPr>
        <w:t xml:space="preserve"> </w:t>
      </w:r>
      <w:r>
        <w:rPr>
          <w:rFonts w:cs="Times New Roman" w:asciiTheme="minorEastAsia" w:hAnsiTheme="minorEastAsia" w:eastAsiaTheme="minorEastAsia"/>
          <w:color w:val="auto"/>
          <w:sz w:val="24"/>
          <w:szCs w:val="24"/>
          <w:highlight w:val="none"/>
        </w:rPr>
        <w:t>万元，属于</w:t>
      </w:r>
      <w:r>
        <w:rPr>
          <w:rFonts w:cs="Times New Roman" w:asciiTheme="minorEastAsia" w:hAnsiTheme="minorEastAsia" w:eastAsiaTheme="minorEastAsia"/>
          <w:color w:val="auto"/>
          <w:sz w:val="24"/>
          <w:szCs w:val="24"/>
          <w:highlight w:val="none"/>
          <w:u w:val="single"/>
        </w:rPr>
        <w:t>（</w:t>
      </w:r>
      <w:r>
        <w:rPr>
          <w:rFonts w:hint="eastAsia" w:cs="Times New Roman" w:asciiTheme="minorEastAsia" w:hAnsiTheme="minorEastAsia" w:eastAsiaTheme="minorEastAsia"/>
          <w:color w:val="auto"/>
          <w:sz w:val="24"/>
          <w:szCs w:val="24"/>
          <w:highlight w:val="none"/>
          <w:u w:val="single"/>
        </w:rPr>
        <w:t>中型企业、</w:t>
      </w:r>
      <w:r>
        <w:rPr>
          <w:rFonts w:cs="Times New Roman" w:asciiTheme="minorEastAsia" w:hAnsiTheme="minorEastAsia" w:eastAsiaTheme="minorEastAsia"/>
          <w:color w:val="auto"/>
          <w:sz w:val="24"/>
          <w:szCs w:val="24"/>
          <w:highlight w:val="none"/>
          <w:u w:val="single"/>
        </w:rPr>
        <w:t>小型企业、微型企业）</w:t>
      </w:r>
      <w:r>
        <w:rPr>
          <w:rFonts w:cs="Times New Roman" w:asciiTheme="minorEastAsia" w:hAnsiTheme="minorEastAsia" w:eastAsiaTheme="minorEastAsia"/>
          <w:color w:val="auto"/>
          <w:sz w:val="24"/>
          <w:szCs w:val="24"/>
          <w:highlight w:val="none"/>
        </w:rPr>
        <w:t xml:space="preserve">； </w:t>
      </w:r>
    </w:p>
    <w:p w14:paraId="587A0ECB">
      <w:pPr>
        <w:spacing w:line="360" w:lineRule="auto"/>
        <w:ind w:firstLine="480"/>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以上企业，不属于大企业的分支机构，不存在控股股东为大企业的情形，也不存在与大企业的负责人为同一人的情形。</w:t>
      </w:r>
    </w:p>
    <w:p w14:paraId="04C8AC2B">
      <w:pPr>
        <w:spacing w:line="360" w:lineRule="auto"/>
        <w:ind w:firstLine="480"/>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 xml:space="preserve">本企业对上述声明内容的真实性负责。如有虚假，将依法承担相应责任。 </w:t>
      </w:r>
    </w:p>
    <w:p w14:paraId="11F9490F">
      <w:pPr>
        <w:spacing w:line="360" w:lineRule="auto"/>
        <w:ind w:firstLine="480"/>
        <w:rPr>
          <w:rFonts w:cs="Times New Roman" w:asciiTheme="minorEastAsia" w:hAnsiTheme="minorEastAsia" w:eastAsiaTheme="minorEastAsia"/>
          <w:color w:val="auto"/>
          <w:sz w:val="24"/>
          <w:szCs w:val="24"/>
          <w:highlight w:val="none"/>
        </w:rPr>
      </w:pPr>
    </w:p>
    <w:p w14:paraId="4F5F2D53">
      <w:pPr>
        <w:spacing w:line="360" w:lineRule="auto"/>
        <w:ind w:right="480" w:firstLine="480"/>
        <w:rPr>
          <w:rFonts w:cs="Times New Roman" w:asciiTheme="minorEastAsia" w:hAnsiTheme="minorEastAsia" w:eastAsiaTheme="minorEastAsia"/>
          <w:color w:val="auto"/>
          <w:sz w:val="24"/>
          <w:szCs w:val="24"/>
          <w:highlight w:val="none"/>
        </w:rPr>
      </w:pPr>
    </w:p>
    <w:p w14:paraId="0CD42AA6">
      <w:pPr>
        <w:spacing w:line="360" w:lineRule="auto"/>
        <w:ind w:right="480" w:firstLine="480"/>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 xml:space="preserve">企业名称（盖章）： </w:t>
      </w:r>
    </w:p>
    <w:p w14:paraId="1BA1F3BC">
      <w:pPr>
        <w:spacing w:line="360" w:lineRule="auto"/>
        <w:ind w:right="480" w:firstLine="480"/>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t>日 期：</w:t>
      </w:r>
    </w:p>
    <w:p w14:paraId="66C97A61">
      <w:pPr>
        <w:spacing w:line="360" w:lineRule="auto"/>
        <w:ind w:right="480" w:firstLine="480"/>
        <w:rPr>
          <w:rFonts w:cs="Times New Roman" w:asciiTheme="minorEastAsia" w:hAnsiTheme="minorEastAsia" w:eastAsiaTheme="minorEastAsia"/>
          <w:color w:val="auto"/>
          <w:sz w:val="24"/>
          <w:szCs w:val="24"/>
          <w:highlight w:val="none"/>
        </w:rPr>
      </w:pPr>
    </w:p>
    <w:p w14:paraId="15877FB5">
      <w:pPr>
        <w:spacing w:line="360" w:lineRule="auto"/>
        <w:ind w:right="480" w:firstLine="482"/>
        <w:rPr>
          <w:rFonts w:cs="Times New Roman" w:asciiTheme="minorEastAsia" w:hAnsiTheme="minorEastAsia" w:eastAsiaTheme="minorEastAsia"/>
          <w:b/>
          <w:color w:val="auto"/>
          <w:sz w:val="24"/>
          <w:szCs w:val="24"/>
          <w:highlight w:val="none"/>
        </w:rPr>
      </w:pPr>
    </w:p>
    <w:p w14:paraId="3A5267E8">
      <w:pPr>
        <w:spacing w:line="360" w:lineRule="auto"/>
        <w:ind w:right="480" w:firstLine="482"/>
        <w:rPr>
          <w:rFonts w:cs="Times New Roman" w:asciiTheme="minorEastAsia" w:hAnsiTheme="minorEastAsia" w:eastAsiaTheme="minorEastAsia"/>
          <w:b/>
          <w:color w:val="auto"/>
          <w:sz w:val="24"/>
          <w:szCs w:val="24"/>
          <w:highlight w:val="none"/>
        </w:rPr>
      </w:pPr>
    </w:p>
    <w:p w14:paraId="760241E9">
      <w:pPr>
        <w:spacing w:line="360" w:lineRule="auto"/>
        <w:ind w:right="480" w:firstLine="482"/>
        <w:rPr>
          <w:rFonts w:cs="Times New Roman" w:asciiTheme="minorEastAsia" w:hAnsiTheme="minorEastAsia" w:eastAsiaTheme="minorEastAsia"/>
          <w:b/>
          <w:color w:val="auto"/>
          <w:sz w:val="24"/>
          <w:szCs w:val="24"/>
          <w:highlight w:val="none"/>
        </w:rPr>
      </w:pPr>
    </w:p>
    <w:p w14:paraId="086B516B">
      <w:pPr>
        <w:spacing w:line="360" w:lineRule="auto"/>
        <w:ind w:right="480" w:firstLine="482"/>
        <w:rPr>
          <w:rFonts w:cs="Times New Roman" w:asciiTheme="minorEastAsia" w:hAnsiTheme="minorEastAsia" w:eastAsiaTheme="minorEastAsia"/>
          <w:b/>
          <w:color w:val="auto"/>
          <w:sz w:val="24"/>
          <w:szCs w:val="24"/>
          <w:highlight w:val="none"/>
        </w:rPr>
      </w:pPr>
    </w:p>
    <w:p w14:paraId="2279B938">
      <w:pPr>
        <w:spacing w:line="360" w:lineRule="auto"/>
        <w:ind w:right="480" w:firstLine="482"/>
        <w:rPr>
          <w:rFonts w:cs="Times New Roman" w:asciiTheme="minorEastAsia" w:hAnsiTheme="minorEastAsia" w:eastAsiaTheme="minorEastAsia"/>
          <w:b/>
          <w:color w:val="auto"/>
          <w:sz w:val="24"/>
          <w:szCs w:val="24"/>
          <w:highlight w:val="none"/>
        </w:rPr>
      </w:pPr>
    </w:p>
    <w:p w14:paraId="4EC745B0">
      <w:pPr>
        <w:spacing w:line="360" w:lineRule="auto"/>
        <w:ind w:right="480" w:firstLine="482"/>
        <w:rPr>
          <w:rFonts w:cs="Times New Roman" w:asciiTheme="minorEastAsia" w:hAnsiTheme="minorEastAsia" w:eastAsiaTheme="minorEastAsia"/>
          <w:b/>
          <w:color w:val="auto"/>
          <w:sz w:val="24"/>
          <w:szCs w:val="24"/>
          <w:highlight w:val="none"/>
        </w:rPr>
      </w:pPr>
    </w:p>
    <w:p w14:paraId="5B4D5193">
      <w:pPr>
        <w:spacing w:line="360" w:lineRule="auto"/>
        <w:ind w:right="480" w:firstLine="480"/>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填报说明：</w:t>
      </w:r>
    </w:p>
    <w:p w14:paraId="1A27C7A7">
      <w:pPr>
        <w:spacing w:line="360" w:lineRule="auto"/>
        <w:ind w:right="480" w:firstLine="480"/>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1、</w:t>
      </w:r>
      <w:r>
        <w:rPr>
          <w:rFonts w:cs="Times New Roman" w:asciiTheme="minorEastAsia" w:hAnsiTheme="minorEastAsia" w:eastAsiaTheme="minorEastAsia"/>
          <w:color w:val="auto"/>
          <w:sz w:val="24"/>
          <w:szCs w:val="24"/>
          <w:highlight w:val="none"/>
        </w:rPr>
        <w:t>从业人员、营业收入、资产总额填报上一年度数据，无上一年度数据的新成立企业可不填报。</w:t>
      </w:r>
    </w:p>
    <w:p w14:paraId="28BB2CA7">
      <w:pPr>
        <w:spacing w:line="360" w:lineRule="auto"/>
        <w:ind w:firstLine="480"/>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2、请供应商如实填写，所填内容将作为评审的依据。如填写不完整，将不享受扶持政策。</w:t>
      </w:r>
    </w:p>
    <w:p w14:paraId="0146DC35">
      <w:pPr>
        <w:spacing w:line="360" w:lineRule="auto"/>
        <w:ind w:firstLine="480"/>
        <w:rPr>
          <w:rFonts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3、成交供应商的《中小企业声明函》随成交结果公开。</w:t>
      </w:r>
    </w:p>
    <w:p w14:paraId="618481FF">
      <w:pPr>
        <w:keepNext/>
        <w:keepLines/>
        <w:spacing w:before="120" w:after="120" w:line="560" w:lineRule="exact"/>
        <w:jc w:val="left"/>
        <w:outlineLvl w:val="1"/>
        <w:rPr>
          <w:rFonts w:cs="Times New Roman" w:asciiTheme="minorEastAsia" w:hAnsiTheme="minorEastAsia" w:eastAsiaTheme="minorEastAsia"/>
          <w:b/>
          <w:bCs/>
          <w:color w:val="auto"/>
          <w:sz w:val="32"/>
          <w:szCs w:val="32"/>
          <w:highlight w:val="none"/>
        </w:rPr>
      </w:pPr>
      <w:r>
        <w:rPr>
          <w:rFonts w:cs="Times New Roman" w:asciiTheme="minorEastAsia" w:hAnsiTheme="minorEastAsia" w:eastAsiaTheme="minorEastAsia"/>
          <w:color w:val="auto"/>
          <w:sz w:val="24"/>
          <w:szCs w:val="21"/>
          <w:highlight w:val="none"/>
        </w:rPr>
        <w:br w:type="page" w:clear="all"/>
      </w:r>
    </w:p>
    <w:p w14:paraId="2F255FE3">
      <w:pPr>
        <w:ind w:firstLine="720"/>
        <w:jc w:val="center"/>
        <w:rPr>
          <w:rFonts w:cs="宋体" w:asciiTheme="minorEastAsia" w:hAnsiTheme="minorEastAsia" w:eastAsiaTheme="minorEastAsia"/>
          <w:bCs/>
          <w:color w:val="auto"/>
          <w:sz w:val="36"/>
          <w:szCs w:val="28"/>
          <w:highlight w:val="none"/>
        </w:rPr>
      </w:pPr>
      <w:r>
        <w:rPr>
          <w:rFonts w:hint="eastAsia" w:cs="宋体" w:asciiTheme="minorEastAsia" w:hAnsiTheme="minorEastAsia" w:eastAsiaTheme="minorEastAsia"/>
          <w:bCs/>
          <w:color w:val="auto"/>
          <w:sz w:val="36"/>
          <w:szCs w:val="28"/>
          <w:highlight w:val="none"/>
        </w:rPr>
        <w:t>残疾人福利性单位声明函</w:t>
      </w:r>
    </w:p>
    <w:p w14:paraId="484CAEE2">
      <w:pPr>
        <w:spacing w:line="560" w:lineRule="exact"/>
        <w:ind w:firstLine="480"/>
        <w:rPr>
          <w:rFonts w:cs="Times New Roman" w:asciiTheme="minorEastAsia" w:hAnsiTheme="minorEastAsia" w:eastAsiaTheme="minorEastAsia"/>
          <w:color w:val="auto"/>
          <w:sz w:val="24"/>
          <w:szCs w:val="21"/>
          <w:highlight w:val="none"/>
        </w:rPr>
      </w:pPr>
      <w:r>
        <w:rPr>
          <w:rFonts w:hint="eastAsia" w:cs="Times New Roman" w:asciiTheme="minorEastAsia" w:hAnsiTheme="minorEastAsia" w:eastAsiaTheme="minorEastAsia"/>
          <w:color w:val="auto"/>
          <w:sz w:val="24"/>
          <w:szCs w:val="21"/>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cs="Times New Roman" w:asciiTheme="minorEastAsia" w:hAnsiTheme="minorEastAsia" w:eastAsiaTheme="minorEastAsia"/>
          <w:color w:val="auto"/>
          <w:sz w:val="24"/>
          <w:szCs w:val="21"/>
          <w:highlight w:val="none"/>
          <w:u w:val="single"/>
        </w:rPr>
        <w:t xml:space="preserve">          </w:t>
      </w:r>
      <w:r>
        <w:rPr>
          <w:rFonts w:hint="eastAsia" w:cs="Times New Roman" w:asciiTheme="minorEastAsia" w:hAnsiTheme="minorEastAsia" w:eastAsiaTheme="minorEastAsia"/>
          <w:color w:val="auto"/>
          <w:sz w:val="24"/>
          <w:szCs w:val="21"/>
          <w:highlight w:val="none"/>
        </w:rPr>
        <w:t>单位的</w:t>
      </w:r>
      <w:r>
        <w:rPr>
          <w:rFonts w:hint="eastAsia" w:cs="Times New Roman" w:asciiTheme="minorEastAsia" w:hAnsiTheme="minorEastAsia" w:eastAsiaTheme="minorEastAsia"/>
          <w:color w:val="auto"/>
          <w:sz w:val="24"/>
          <w:szCs w:val="21"/>
          <w:highlight w:val="none"/>
          <w:u w:val="single"/>
        </w:rPr>
        <w:t xml:space="preserve">          </w:t>
      </w:r>
      <w:r>
        <w:rPr>
          <w:rFonts w:hint="eastAsia" w:cs="Times New Roman" w:asciiTheme="minorEastAsia" w:hAnsiTheme="minorEastAsia" w:eastAsiaTheme="minorEastAsia"/>
          <w:color w:val="auto"/>
          <w:sz w:val="24"/>
          <w:szCs w:val="21"/>
          <w:highlight w:val="none"/>
        </w:rPr>
        <w:t>项目由本单位提供全部服务。</w:t>
      </w:r>
    </w:p>
    <w:p w14:paraId="182DB296">
      <w:pPr>
        <w:spacing w:line="588" w:lineRule="exact"/>
        <w:ind w:firstLine="480"/>
        <w:rPr>
          <w:rFonts w:cs="Times New Roman" w:asciiTheme="minorEastAsia" w:hAnsiTheme="minorEastAsia" w:eastAsiaTheme="minorEastAsia"/>
          <w:color w:val="auto"/>
          <w:sz w:val="24"/>
          <w:szCs w:val="21"/>
          <w:highlight w:val="none"/>
        </w:rPr>
      </w:pPr>
      <w:r>
        <w:rPr>
          <w:rFonts w:hint="eastAsia" w:cs="Times New Roman" w:asciiTheme="minorEastAsia" w:hAnsiTheme="minorEastAsia" w:eastAsiaTheme="minorEastAsia"/>
          <w:color w:val="auto"/>
          <w:sz w:val="24"/>
          <w:szCs w:val="21"/>
          <w:highlight w:val="none"/>
        </w:rPr>
        <w:t>本单位对上述声明的真实性负责。如有虚假，将依法承担相应责任。</w:t>
      </w:r>
    </w:p>
    <w:p w14:paraId="01335301">
      <w:pPr>
        <w:spacing w:line="560" w:lineRule="exact"/>
        <w:ind w:firstLine="480"/>
        <w:rPr>
          <w:rFonts w:cs="Times New Roman" w:asciiTheme="minorEastAsia" w:hAnsiTheme="minorEastAsia" w:eastAsiaTheme="minorEastAsia"/>
          <w:color w:val="auto"/>
          <w:sz w:val="24"/>
          <w:szCs w:val="21"/>
          <w:highlight w:val="none"/>
        </w:rPr>
      </w:pPr>
    </w:p>
    <w:p w14:paraId="2C222C4F">
      <w:pPr>
        <w:spacing w:line="560" w:lineRule="exact"/>
        <w:ind w:firstLine="480"/>
        <w:rPr>
          <w:rFonts w:cs="Times New Roman" w:asciiTheme="minorEastAsia" w:hAnsiTheme="minorEastAsia" w:eastAsiaTheme="minorEastAsia"/>
          <w:color w:val="auto"/>
          <w:sz w:val="24"/>
          <w:szCs w:val="21"/>
          <w:highlight w:val="none"/>
        </w:rPr>
      </w:pPr>
    </w:p>
    <w:p w14:paraId="575B3BFD">
      <w:pPr>
        <w:spacing w:line="560" w:lineRule="exact"/>
        <w:ind w:firstLine="480"/>
        <w:rPr>
          <w:rFonts w:cs="Times New Roman" w:asciiTheme="minorEastAsia" w:hAnsiTheme="minorEastAsia" w:eastAsiaTheme="minorEastAsia"/>
          <w:color w:val="auto"/>
          <w:sz w:val="24"/>
          <w:szCs w:val="21"/>
          <w:highlight w:val="none"/>
        </w:rPr>
      </w:pPr>
      <w:r>
        <w:rPr>
          <w:rFonts w:hint="eastAsia" w:cs="Times New Roman" w:asciiTheme="minorEastAsia" w:hAnsiTheme="minorEastAsia" w:eastAsiaTheme="minorEastAsia"/>
          <w:bCs/>
          <w:color w:val="auto"/>
          <w:sz w:val="24"/>
          <w:szCs w:val="24"/>
          <w:highlight w:val="none"/>
        </w:rPr>
        <w:t>磋商供应商（盖章）</w:t>
      </w:r>
      <w:r>
        <w:rPr>
          <w:rFonts w:hint="eastAsia" w:cs="Times New Roman" w:asciiTheme="minorEastAsia" w:hAnsiTheme="minorEastAsia" w:eastAsiaTheme="minorEastAsia"/>
          <w:color w:val="auto"/>
          <w:sz w:val="24"/>
          <w:szCs w:val="21"/>
          <w:highlight w:val="none"/>
        </w:rPr>
        <w:t>：</w:t>
      </w:r>
    </w:p>
    <w:p w14:paraId="72073A86">
      <w:pPr>
        <w:spacing w:line="560" w:lineRule="exact"/>
        <w:ind w:firstLine="480"/>
        <w:rPr>
          <w:rFonts w:cs="Times New Roman" w:asciiTheme="minorEastAsia" w:hAnsiTheme="minorEastAsia" w:eastAsiaTheme="minorEastAsia"/>
          <w:color w:val="auto"/>
          <w:sz w:val="24"/>
          <w:szCs w:val="21"/>
          <w:highlight w:val="none"/>
        </w:rPr>
      </w:pPr>
      <w:r>
        <w:rPr>
          <w:rFonts w:hint="eastAsia" w:cs="Times New Roman" w:asciiTheme="minorEastAsia" w:hAnsiTheme="minorEastAsia" w:eastAsiaTheme="minorEastAsia"/>
          <w:color w:val="auto"/>
          <w:sz w:val="24"/>
          <w:szCs w:val="21"/>
          <w:highlight w:val="none"/>
        </w:rPr>
        <w:t>日期：年月日</w:t>
      </w:r>
    </w:p>
    <w:p w14:paraId="730E4A27">
      <w:pPr>
        <w:spacing w:line="560" w:lineRule="exact"/>
        <w:ind w:firstLine="480"/>
        <w:rPr>
          <w:rFonts w:cs="Times New Roman" w:asciiTheme="minorEastAsia" w:hAnsiTheme="minorEastAsia" w:eastAsiaTheme="minorEastAsia"/>
          <w:color w:val="auto"/>
          <w:sz w:val="24"/>
          <w:szCs w:val="21"/>
          <w:highlight w:val="none"/>
        </w:rPr>
      </w:pPr>
    </w:p>
    <w:p w14:paraId="035BD733">
      <w:pPr>
        <w:spacing w:line="560" w:lineRule="exact"/>
        <w:ind w:firstLine="480"/>
        <w:rPr>
          <w:rFonts w:cs="Times New Roman" w:asciiTheme="minorEastAsia" w:hAnsiTheme="minorEastAsia" w:eastAsiaTheme="minorEastAsia"/>
          <w:color w:val="auto"/>
          <w:sz w:val="24"/>
          <w:szCs w:val="21"/>
          <w:highlight w:val="none"/>
        </w:rPr>
      </w:pPr>
    </w:p>
    <w:p w14:paraId="2A93F955">
      <w:pPr>
        <w:spacing w:line="560" w:lineRule="exact"/>
        <w:ind w:firstLine="480"/>
        <w:rPr>
          <w:rFonts w:cs="Times New Roman" w:asciiTheme="minorEastAsia" w:hAnsiTheme="minorEastAsia" w:eastAsiaTheme="minorEastAsia"/>
          <w:color w:val="auto"/>
          <w:sz w:val="24"/>
          <w:szCs w:val="21"/>
          <w:highlight w:val="none"/>
        </w:rPr>
      </w:pPr>
    </w:p>
    <w:p w14:paraId="1ACA55A3">
      <w:pPr>
        <w:spacing w:line="560" w:lineRule="exact"/>
        <w:ind w:firstLine="480"/>
        <w:rPr>
          <w:rFonts w:cs="Times New Roman" w:asciiTheme="minorEastAsia" w:hAnsiTheme="minorEastAsia" w:eastAsiaTheme="minorEastAsia"/>
          <w:color w:val="auto"/>
          <w:sz w:val="24"/>
          <w:szCs w:val="21"/>
          <w:highlight w:val="none"/>
        </w:rPr>
      </w:pPr>
    </w:p>
    <w:p w14:paraId="75D12399">
      <w:pPr>
        <w:spacing w:line="560" w:lineRule="exact"/>
        <w:ind w:firstLine="480"/>
        <w:rPr>
          <w:rFonts w:cs="Times New Roman" w:asciiTheme="minorEastAsia" w:hAnsiTheme="minorEastAsia" w:eastAsiaTheme="minorEastAsia"/>
          <w:color w:val="auto"/>
          <w:sz w:val="24"/>
          <w:szCs w:val="21"/>
          <w:highlight w:val="none"/>
        </w:rPr>
      </w:pPr>
    </w:p>
    <w:p w14:paraId="4E974A92">
      <w:pPr>
        <w:spacing w:line="560" w:lineRule="exact"/>
        <w:ind w:firstLine="480"/>
        <w:rPr>
          <w:rFonts w:cs="Times New Roman" w:asciiTheme="minorEastAsia" w:hAnsiTheme="minorEastAsia" w:eastAsiaTheme="minorEastAsia"/>
          <w:color w:val="auto"/>
          <w:sz w:val="24"/>
          <w:szCs w:val="21"/>
          <w:highlight w:val="none"/>
        </w:rPr>
      </w:pPr>
    </w:p>
    <w:p w14:paraId="214DAEBE">
      <w:pPr>
        <w:spacing w:line="560" w:lineRule="exact"/>
        <w:ind w:firstLine="480"/>
        <w:rPr>
          <w:rFonts w:cs="Times New Roman" w:asciiTheme="minorEastAsia" w:hAnsiTheme="minorEastAsia" w:eastAsiaTheme="minorEastAsia"/>
          <w:color w:val="auto"/>
          <w:sz w:val="24"/>
          <w:szCs w:val="21"/>
          <w:highlight w:val="none"/>
        </w:rPr>
      </w:pPr>
    </w:p>
    <w:p w14:paraId="5C5563C2">
      <w:pPr>
        <w:spacing w:line="360" w:lineRule="auto"/>
        <w:ind w:firstLine="480"/>
        <w:rPr>
          <w:rFonts w:cs="Times New Roman" w:asciiTheme="minorEastAsia" w:hAnsiTheme="minorEastAsia" w:eastAsiaTheme="minorEastAsia"/>
          <w:bCs/>
          <w:color w:val="auto"/>
          <w:sz w:val="24"/>
          <w:szCs w:val="24"/>
          <w:highlight w:val="none"/>
        </w:rPr>
      </w:pPr>
      <w:r>
        <w:rPr>
          <w:rFonts w:hint="eastAsia" w:cs="Times New Roman" w:asciiTheme="minorEastAsia" w:hAnsiTheme="minorEastAsia" w:eastAsiaTheme="minorEastAsia"/>
          <w:bCs/>
          <w:color w:val="auto"/>
          <w:sz w:val="24"/>
          <w:szCs w:val="24"/>
          <w:highlight w:val="none"/>
        </w:rPr>
        <w:t>填报说明：</w:t>
      </w:r>
    </w:p>
    <w:p w14:paraId="416AD664">
      <w:pPr>
        <w:spacing w:line="360" w:lineRule="auto"/>
        <w:ind w:firstLine="480"/>
        <w:rPr>
          <w:rFonts w:cs="Times New Roman" w:asciiTheme="minorEastAsia" w:hAnsiTheme="minorEastAsia" w:eastAsiaTheme="minorEastAsia"/>
          <w:bCs/>
          <w:color w:val="auto"/>
          <w:sz w:val="24"/>
          <w:szCs w:val="24"/>
          <w:highlight w:val="none"/>
        </w:rPr>
      </w:pPr>
      <w:r>
        <w:rPr>
          <w:rFonts w:hint="eastAsia" w:cs="Times New Roman" w:asciiTheme="minorEastAsia" w:hAnsiTheme="minorEastAsia" w:eastAsiaTheme="minorEastAsia"/>
          <w:bCs/>
          <w:color w:val="auto"/>
          <w:sz w:val="24"/>
          <w:szCs w:val="24"/>
          <w:highlight w:val="none"/>
        </w:rPr>
        <w:t>1、请供应商如实填写，所填内容将作为评审的依据。</w:t>
      </w:r>
      <w:r>
        <w:rPr>
          <w:rFonts w:hint="eastAsia" w:cs="Times New Roman" w:asciiTheme="minorEastAsia" w:hAnsiTheme="minorEastAsia" w:eastAsiaTheme="minorEastAsia"/>
          <w:color w:val="auto"/>
          <w:sz w:val="24"/>
          <w:szCs w:val="24"/>
          <w:highlight w:val="none"/>
        </w:rPr>
        <w:t>如填写不完整，将不享受扶</w:t>
      </w:r>
      <w:r>
        <w:rPr>
          <w:rFonts w:hint="eastAsia" w:cs="Times New Roman" w:asciiTheme="minorEastAsia" w:hAnsiTheme="minorEastAsia" w:eastAsiaTheme="minorEastAsia"/>
          <w:bCs/>
          <w:color w:val="auto"/>
          <w:sz w:val="24"/>
          <w:szCs w:val="24"/>
          <w:highlight w:val="none"/>
        </w:rPr>
        <w:t>持政策。</w:t>
      </w:r>
    </w:p>
    <w:p w14:paraId="2CCA9D92">
      <w:pPr>
        <w:spacing w:line="360" w:lineRule="auto"/>
        <w:ind w:firstLine="480"/>
        <w:rPr>
          <w:rFonts w:hint="eastAsia" w:cs="Times New Roman" w:asciiTheme="minorEastAsia" w:hAnsiTheme="minorEastAsia" w:eastAsiaTheme="minorEastAsia"/>
          <w:bCs/>
          <w:color w:val="auto"/>
          <w:sz w:val="24"/>
          <w:szCs w:val="24"/>
          <w:highlight w:val="none"/>
        </w:rPr>
      </w:pPr>
      <w:r>
        <w:rPr>
          <w:rFonts w:hint="eastAsia" w:cs="Times New Roman" w:asciiTheme="minorEastAsia" w:hAnsiTheme="minorEastAsia" w:eastAsiaTheme="minorEastAsia"/>
          <w:bCs/>
          <w:color w:val="auto"/>
          <w:sz w:val="24"/>
          <w:szCs w:val="24"/>
          <w:highlight w:val="none"/>
        </w:rPr>
        <w:t>2、成交供应商的《残疾人福利性单位声明函》随成交结果公开。</w:t>
      </w:r>
    </w:p>
    <w:p w14:paraId="3433F557">
      <w:pPr>
        <w:rPr>
          <w:rFonts w:hint="eastAsia" w:cs="Times New Roman" w:asciiTheme="minorEastAsia" w:hAnsiTheme="minorEastAsia" w:eastAsiaTheme="minorEastAsia"/>
          <w:bCs/>
          <w:color w:val="auto"/>
          <w:sz w:val="24"/>
          <w:szCs w:val="24"/>
          <w:highlight w:val="none"/>
        </w:rPr>
      </w:pPr>
      <w:r>
        <w:rPr>
          <w:rFonts w:hint="eastAsia" w:cs="Times New Roman" w:asciiTheme="minorEastAsia" w:hAnsiTheme="minorEastAsia" w:eastAsiaTheme="minorEastAsia"/>
          <w:bCs/>
          <w:color w:val="auto"/>
          <w:sz w:val="24"/>
          <w:szCs w:val="24"/>
          <w:highlight w:val="none"/>
        </w:rPr>
        <w:br w:type="page" w:clear="all"/>
      </w:r>
    </w:p>
    <w:p w14:paraId="4C19237C">
      <w:pPr>
        <w:spacing w:line="560" w:lineRule="exact"/>
        <w:ind w:firstLine="723"/>
        <w:jc w:val="center"/>
        <w:rPr>
          <w:rFonts w:hint="eastAsia" w:ascii="宋体" w:hAnsi="宋体" w:eastAsia="宋体" w:cs="黑体"/>
          <w:b/>
          <w:bCs/>
          <w:color w:val="auto"/>
          <w:sz w:val="36"/>
          <w:szCs w:val="36"/>
          <w:highlight w:val="none"/>
          <w:lang w:val="en-US" w:eastAsia="zh-CN"/>
        </w:rPr>
      </w:pPr>
      <w:r>
        <w:rPr>
          <w:rFonts w:hint="eastAsia" w:ascii="宋体" w:hAnsi="宋体" w:eastAsia="宋体" w:cs="黑体"/>
          <w:b/>
          <w:bCs/>
          <w:color w:val="auto"/>
          <w:sz w:val="36"/>
          <w:szCs w:val="36"/>
          <w:highlight w:val="none"/>
          <w:lang w:val="en-US" w:eastAsia="zh-CN"/>
        </w:rPr>
        <w:t>质疑函范本</w:t>
      </w:r>
    </w:p>
    <w:p w14:paraId="1BAC6C57">
      <w:pPr>
        <w:spacing w:line="500" w:lineRule="exact"/>
        <w:ind w:firstLine="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一、质疑供应商基本信息</w:t>
      </w:r>
    </w:p>
    <w:p w14:paraId="587BF2D3">
      <w:pPr>
        <w:spacing w:line="500" w:lineRule="exact"/>
        <w:ind w:firstLine="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质疑供应商：</w:t>
      </w:r>
    </w:p>
    <w:p w14:paraId="471427D6">
      <w:pPr>
        <w:spacing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地址：邮编：</w:t>
      </w:r>
    </w:p>
    <w:p w14:paraId="2F33C674">
      <w:pPr>
        <w:spacing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联系人：联系电话：</w:t>
      </w:r>
    </w:p>
    <w:p w14:paraId="00448101">
      <w:pPr>
        <w:spacing w:line="500" w:lineRule="exact"/>
        <w:ind w:firstLine="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授权代表：</w:t>
      </w:r>
    </w:p>
    <w:p w14:paraId="10CF2E5A">
      <w:pPr>
        <w:spacing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w:t>
      </w:r>
    </w:p>
    <w:p w14:paraId="7EF08E3B">
      <w:pPr>
        <w:spacing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地址：邮编：</w:t>
      </w:r>
    </w:p>
    <w:p w14:paraId="138008FC">
      <w:pPr>
        <w:spacing w:line="500" w:lineRule="exact"/>
        <w:ind w:firstLine="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二、质疑项目基本情况</w:t>
      </w:r>
    </w:p>
    <w:p w14:paraId="2C81FC6D">
      <w:pPr>
        <w:spacing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质疑项目的名称：</w:t>
      </w:r>
    </w:p>
    <w:p w14:paraId="0615B118">
      <w:pPr>
        <w:spacing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质疑项目的编号：包号：</w:t>
      </w:r>
    </w:p>
    <w:p w14:paraId="58864360">
      <w:pPr>
        <w:spacing w:line="500" w:lineRule="exact"/>
        <w:ind w:firstLine="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采购人名称：</w:t>
      </w:r>
    </w:p>
    <w:p w14:paraId="06746EBD">
      <w:pPr>
        <w:spacing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采购文件获取日期：</w:t>
      </w:r>
    </w:p>
    <w:p w14:paraId="5A7697F7">
      <w:pPr>
        <w:spacing w:line="500" w:lineRule="exact"/>
        <w:ind w:firstLine="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三、质疑事项具体内容</w:t>
      </w:r>
    </w:p>
    <w:p w14:paraId="39C1BD36">
      <w:pPr>
        <w:spacing w:line="500" w:lineRule="exact"/>
        <w:ind w:firstLine="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质疑事项1：</w:t>
      </w:r>
    </w:p>
    <w:p w14:paraId="3AE91556">
      <w:pPr>
        <w:spacing w:line="500" w:lineRule="exact"/>
        <w:ind w:firstLine="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事实依据：</w:t>
      </w:r>
    </w:p>
    <w:p w14:paraId="763342F7">
      <w:pPr>
        <w:spacing w:line="500" w:lineRule="exact"/>
        <w:ind w:firstLine="0"/>
        <w:rPr>
          <w:rFonts w:hint="eastAsia" w:ascii="宋体" w:hAnsi="宋体" w:eastAsia="宋体" w:cs="宋体"/>
          <w:color w:val="auto"/>
          <w:sz w:val="24"/>
          <w:szCs w:val="24"/>
          <w:highlight w:val="none"/>
          <w:lang w:val="en-US" w:eastAsia="zh-CN" w:bidi="ar-SA"/>
        </w:rPr>
      </w:pPr>
    </w:p>
    <w:p w14:paraId="0F25BE73">
      <w:pPr>
        <w:spacing w:line="500" w:lineRule="exact"/>
        <w:ind w:firstLine="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法律依据：</w:t>
      </w:r>
    </w:p>
    <w:p w14:paraId="073BC226">
      <w:pPr>
        <w:spacing w:line="500" w:lineRule="exact"/>
        <w:ind w:firstLine="0"/>
        <w:rPr>
          <w:rFonts w:hint="eastAsia" w:ascii="宋体" w:hAnsi="宋体" w:eastAsia="宋体" w:cs="宋体"/>
          <w:color w:val="auto"/>
          <w:sz w:val="24"/>
          <w:szCs w:val="24"/>
          <w:highlight w:val="none"/>
          <w:u w:val="single"/>
          <w:lang w:val="en-US" w:eastAsia="zh-CN" w:bidi="ar-SA"/>
        </w:rPr>
      </w:pPr>
    </w:p>
    <w:p w14:paraId="3E712325">
      <w:pPr>
        <w:spacing w:line="500" w:lineRule="exact"/>
        <w:ind w:firstLine="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质疑事项2</w:t>
      </w:r>
    </w:p>
    <w:p w14:paraId="1A4EF647">
      <w:pPr>
        <w:spacing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p w14:paraId="42DDFF3E">
      <w:pPr>
        <w:spacing w:line="500" w:lineRule="exact"/>
        <w:ind w:firstLine="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四、与质疑事项相关的质疑请求</w:t>
      </w:r>
    </w:p>
    <w:p w14:paraId="44F9FFA0">
      <w:pPr>
        <w:spacing w:line="500" w:lineRule="exact"/>
        <w:ind w:firstLine="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请求：</w:t>
      </w:r>
    </w:p>
    <w:p w14:paraId="48CCDB2D">
      <w:pPr>
        <w:spacing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w:t>
      </w:r>
    </w:p>
    <w:p w14:paraId="26CF7B88">
      <w:pPr>
        <w:spacing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w:t>
      </w:r>
    </w:p>
    <w:p w14:paraId="0738266B">
      <w:pPr>
        <w:spacing w:line="500" w:lineRule="exact"/>
        <w:ind w:firstLine="0"/>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质疑函制作说明：</w:t>
      </w:r>
    </w:p>
    <w:p w14:paraId="18DE1F5C">
      <w:pPr>
        <w:widowControl/>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1.供应商提出质疑时，应提交质疑函和必要的证明材料。</w:t>
      </w:r>
    </w:p>
    <w:p w14:paraId="120C6FFB">
      <w:pPr>
        <w:widowControl/>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1C1DD5D4">
      <w:pPr>
        <w:widowControl/>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3.质疑供应商若对项目的某一分包进行质疑，质疑函中应列明具体分包号。</w:t>
      </w:r>
    </w:p>
    <w:p w14:paraId="59AF1FCB">
      <w:pPr>
        <w:widowControl/>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4.质疑函的质疑事项应具体、明确，并有必要的事实依据和法律依据。</w:t>
      </w:r>
    </w:p>
    <w:p w14:paraId="21111901">
      <w:pPr>
        <w:widowControl/>
        <w:spacing w:line="5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5.质疑函的质疑请求应与质疑事项相关。</w:t>
      </w:r>
    </w:p>
    <w:p w14:paraId="2A3858DE">
      <w:pPr>
        <w:widowControl/>
        <w:spacing w:line="500" w:lineRule="exact"/>
        <w:ind w:firstLine="480"/>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3E47BFFA">
      <w:pPr>
        <w:pStyle w:val="48"/>
        <w:rPr>
          <w:color w:val="auto"/>
          <w:highlight w:val="none"/>
        </w:rPr>
      </w:pPr>
    </w:p>
    <w:p w14:paraId="3C8AC960">
      <w:pPr>
        <w:spacing w:line="588" w:lineRule="exact"/>
        <w:ind w:firstLine="0"/>
        <w:rPr>
          <w:rFonts w:ascii="宋体" w:hAnsi="宋体" w:cs="宋体"/>
          <w:b/>
          <w:color w:val="auto"/>
          <w:spacing w:val="6"/>
          <w:sz w:val="21"/>
          <w:szCs w:val="21"/>
          <w:highlight w:val="none"/>
        </w:rPr>
      </w:pPr>
    </w:p>
    <w:p w14:paraId="0F26F77C">
      <w:pPr>
        <w:ind w:firstLine="0"/>
        <w:rPr>
          <w:color w:val="auto"/>
          <w:highlight w:val="none"/>
        </w:rPr>
      </w:pPr>
    </w:p>
    <w:sectPr>
      <w:headerReference r:id="rId12" w:type="default"/>
      <w:footerReference r:id="rId13" w:type="default"/>
      <w:pgSz w:w="11900" w:h="16840" w:orient="landscape"/>
      <w:pgMar w:top="1440" w:right="1800" w:bottom="1440" w:left="1800" w:header="851" w:footer="99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auto"/>
    <w:pitch w:val="default"/>
    <w:sig w:usb0="A1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2FF" w:usb1="400004FF" w:usb2="00000000" w:usb3="00000000" w:csb0="2000019F" w:csb1="00000000"/>
  </w:font>
  <w:font w:name="Courier New">
    <w:panose1 w:val="02070309020205020404"/>
    <w:charset w:val="00"/>
    <w:family w:val="auto"/>
    <w:pitch w:val="default"/>
    <w:sig w:usb0="E0002AFF" w:usb1="C0007843" w:usb2="00000009" w:usb3="00000000" w:csb0="400001FF" w:csb1="FFFF0000"/>
  </w:font>
  <w:font w:name="monospace">
    <w:altName w:val="Vijaya"/>
    <w:panose1 w:val="020B0604020202020204"/>
    <w:charset w:val="00"/>
    <w:family w:val="auto"/>
    <w:pitch w:val="default"/>
    <w:sig w:usb0="00000000" w:usb1="00000000" w:usb2="00000000" w:usb3="00000000" w:csb0="00000000" w:csb1="00000000"/>
  </w:font>
  <w:font w:name="MingLiU">
    <w:panose1 w:val="02020509000000000000"/>
    <w:charset w:val="88"/>
    <w:family w:val="auto"/>
    <w:pitch w:val="default"/>
    <w:sig w:usb0="A00002FF" w:usb1="28CFFCFA" w:usb2="00000016" w:usb3="00000000" w:csb0="00100001" w:csb1="00000000"/>
  </w:font>
  <w:font w:name="MS Mincho">
    <w:panose1 w:val="02020609040205080304"/>
    <w:charset w:val="80"/>
    <w:family w:val="auto"/>
    <w:pitch w:val="default"/>
    <w:sig w:usb0="E00002FF" w:usb1="6AC7FDFB" w:usb2="00000012" w:usb3="00000000" w:csb0="4002009F" w:csb1="DFD70000"/>
  </w:font>
  <w:font w:name="Tahoma">
    <w:panose1 w:val="020B0604030504040204"/>
    <w:charset w:val="00"/>
    <w:family w:val="auto"/>
    <w:pitch w:val="default"/>
    <w:sig w:usb0="E1002EFF" w:usb1="C000605B" w:usb2="00000029" w:usb3="00000000" w:csb0="200101FF" w:csb1="20280000"/>
  </w:font>
  <w:font w:name="Ђˎ̥">
    <w:altName w:val="Vijaya"/>
    <w:panose1 w:val="020B0604020202020204"/>
    <w:charset w:val="00"/>
    <w:family w:val="auto"/>
    <w:pitch w:val="default"/>
    <w:sig w:usb0="00000000" w:usb1="00000000" w:usb2="00000000" w:usb3="00000000" w:csb0="00000000" w:csb1="00000000"/>
  </w:font>
  <w:font w:name="Helvetica">
    <w:panose1 w:val="020B0504020202030204"/>
    <w:charset w:val="00"/>
    <w:family w:val="auto"/>
    <w:pitch w:val="default"/>
    <w:sig w:usb0="00000007" w:usb1="00000000" w:usb2="00000000" w:usb3="00000000" w:csb0="00000093" w:csb1="00000000"/>
  </w:font>
  <w:font w:name="等线">
    <w:altName w:val="微软雅黑"/>
    <w:panose1 w:val="020B0604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Times">
    <w:altName w:val="CG Times"/>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CG Times">
    <w:panose1 w:val="02020603050405020304"/>
    <w:charset w:val="00"/>
    <w:family w:val="auto"/>
    <w:pitch w:val="default"/>
    <w:sig w:usb0="00000007" w:usb1="00000000" w:usb2="00000000" w:usb3="00000000" w:csb0="00000093" w:csb1="00000000"/>
  </w:font>
  <w:font w:name="Vijaya">
    <w:panose1 w:val="020B0604020202020204"/>
    <w:charset w:val="00"/>
    <w:family w:val="auto"/>
    <w:pitch w:val="default"/>
    <w:sig w:usb0="001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03D81">
    <w:pPr>
      <w:pStyle w:val="239"/>
      <w:ind w:firstLine="360"/>
      <w:jc w:val="cente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083FC">
    <w:pPr>
      <w:pStyle w:val="239"/>
      <w:framePr w:wrap="around" w:vAnchor="text" w:hAnchor="margin" w:xAlign="center" w:y="1"/>
      <w:ind w:firstLine="360"/>
      <w:rPr>
        <w:rStyle w:val="266"/>
      </w:rPr>
    </w:pPr>
    <w:r>
      <w:fldChar w:fldCharType="begin"/>
    </w:r>
    <w:r>
      <w:rPr>
        <w:rStyle w:val="266"/>
      </w:rPr>
      <w:instrText xml:space="preserve">PAGE  </w:instrText>
    </w:r>
    <w:r>
      <w:fldChar w:fldCharType="end"/>
    </w:r>
  </w:p>
  <w:p w14:paraId="5B8572E6">
    <w:pPr>
      <w:pStyle w:val="23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A80C8">
    <w:pPr>
      <w:pStyle w:val="239"/>
      <w:ind w:firstLine="36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86BF8A">
                          <w:pPr>
                            <w:pStyle w:val="26"/>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q3irNwIAAGMEAAAOAAAAAAAAAAEAIAAAAB8BAABkcnMvZTJvRG9jLnht&#10;bFBLBQYAAAAABgAGAFkBAADIBQAAAAA=&#10;">
              <v:fill on="f" focussize="0,0"/>
              <v:stroke on="f" weight="0.5pt"/>
              <v:imagedata o:title=""/>
              <o:lock v:ext="edit" aspectratio="f"/>
              <v:textbox inset="0mm,0mm,0mm,0mm" style="mso-fit-shape-to-text:t;">
                <w:txbxContent>
                  <w:p w14:paraId="6B86BF8A">
                    <w:pPr>
                      <w:pStyle w:val="26"/>
                    </w:pPr>
                    <w:r>
                      <w:fldChar w:fldCharType="begin"/>
                    </w:r>
                    <w:r>
                      <w:instrText xml:space="preserve"> PAGE  \* MERGEFORMAT </w:instrText>
                    </w:r>
                    <w:r>
                      <w:fldChar w:fldCharType="separate"/>
                    </w:r>
                    <w:r>
                      <w:t>22</w:t>
                    </w:r>
                    <w:r>
                      <w:fldChar w:fldCharType="end"/>
                    </w:r>
                  </w:p>
                </w:txbxContent>
              </v:textbox>
            </v:shape>
          </w:pict>
        </mc:Fallback>
      </mc:AlternateContent>
    </w:r>
    <w:r>
      <w:rPr>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E857C">
    <w:pPr>
      <w:pStyle w:val="23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F218F4">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LDMohM2AgAAYwQAAA4AAAAAAAAAAQAgAAAAHwEAAGRycy9lMm9Eb2MueG1s&#10;UEsFBgAAAAAGAAYAWQEAAMcFAAAAAA==&#10;">
              <v:fill on="f" focussize="0,0"/>
              <v:stroke on="f" weight="0.5pt"/>
              <v:imagedata o:title=""/>
              <o:lock v:ext="edit" aspectratio="f"/>
              <v:textbox inset="0mm,0mm,0mm,0mm" style="mso-fit-shape-to-text:t;">
                <w:txbxContent>
                  <w:p w14:paraId="48F218F4">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5760F">
    <w:pPr>
      <w:pStyle w:val="239"/>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7FC27B">
                          <w:pPr>
                            <w:pStyle w:val="2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CtCFLNwIAAGMEAAAOAAAAAAAAAAEAIAAAAB8BAABkcnMvZTJvRG9jLnht&#10;bFBLBQYAAAAABgAGAFkBAADIBQAAAAA=&#10;">
              <v:fill on="f" focussize="0,0"/>
              <v:stroke on="f" weight="0.5pt"/>
              <v:imagedata o:title=""/>
              <o:lock v:ext="edit" aspectratio="f"/>
              <v:textbox inset="0mm,0mm,0mm,0mm" style="mso-fit-shape-to-text:t;">
                <w:txbxContent>
                  <w:p w14:paraId="167FC27B">
                    <w:pPr>
                      <w:pStyle w:val="2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4FC58">
    <w:pPr>
      <w:pStyle w:val="239"/>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CCC2A6">
                          <w:pPr>
                            <w:pStyle w:val="26"/>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YY6TljUCAABkBAAADgAAAAAAAAABACAAAAAfAQAAZHJzL2Uyb0RvYy54bWxQ&#10;SwUGAAAAAAYABgBZAQAAxgUAAAAA&#10;">
              <v:fill on="f" focussize="0,0"/>
              <v:stroke on="f" weight="0.5pt"/>
              <v:imagedata o:title=""/>
              <o:lock v:ext="edit" aspectratio="f"/>
              <v:textbox inset="0mm,0mm,0mm,0mm" style="mso-fit-shape-to-text:t;">
                <w:txbxContent>
                  <w:p w14:paraId="51CCC2A6">
                    <w:pPr>
                      <w:pStyle w:val="26"/>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E4422">
    <w:pPr>
      <w:pStyle w:val="241"/>
      <w:ind w:firstLine="40"/>
      <w:jc w:val="both"/>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2FF04">
    <w:pPr>
      <w:pStyle w:val="565"/>
    </w:pPr>
    <w:r>
      <mc:AlternateContent>
        <mc:Choice Requires="wps">
          <w:drawing>
            <wp:anchor distT="0" distB="0" distL="114300" distR="114300" simplePos="0" relativeHeight="251660288"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round/>
                      </a:ln>
                    </wps:spPr>
                    <wps:txbx>
                      <w:txbxContent>
                        <w:p w14:paraId="1045C3B9">
                          <w:pPr>
                            <w:pStyle w:val="239"/>
                          </w:pPr>
                        </w:p>
                      </w:txbxContent>
                    </wps:txbx>
                    <wps:bodyPr wrap="square" lIns="0" tIns="0" rIns="0" bIns="0" upright="1"/>
                  </wps:wsp>
                </a:graphicData>
              </a:graphic>
            </wp:anchor>
          </w:drawing>
        </mc:Choice>
        <mc:Fallback>
          <w:pict>
            <v:rect id="_x0000_s1026" o:spid="_x0000_s1026" o:spt="1" style="position:absolute;left:0pt;margin-left:225.6pt;margin-top:774.3pt;height:144pt;width:144pt;mso-position-horizontal-relative:page;mso-position-vertical-relative:page;z-index:-251656192;mso-width-relative:page;mso-height-relative:page;" filled="f" stroked="f" coordsize="21600,21600" o:gfxdata="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8Ufdf3QAAAA0BAAAPAAAAAAAAAAEAIAAAACIAAABkcnMvZG93&#10;bnJldi54bWxQSwECFAAUAAAACACHTuJA3/YN9cIBAACMAwAADgAAAAAAAAABACAAAAAsAQAAZHJz&#10;L2Uyb0RvYy54bWxQSwUGAAAAAAYABgBZAQAAYAUAAAAA&#10;">
              <v:fill on="f" focussize="0,0"/>
              <v:stroke on="f" joinstyle="round"/>
              <v:imagedata o:title=""/>
              <o:lock v:ext="edit" aspectratio="f"/>
              <v:textbox inset="0mm,0mm,0mm,0mm">
                <w:txbxContent>
                  <w:p w14:paraId="1045C3B9">
                    <w:pPr>
                      <w:pStyle w:val="239"/>
                    </w:pPr>
                  </w:p>
                </w:txbxContent>
              </v:textbox>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E9663">
    <w:pPr>
      <w:pStyle w:val="565"/>
    </w:pPr>
    <w:r>
      <mc:AlternateContent>
        <mc:Choice Requires="wps">
          <w:drawing>
            <wp:anchor distT="0" distB="0" distL="114300" distR="114300" simplePos="0" relativeHeight="251661312"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round/>
                      </a:ln>
                    </wps:spPr>
                    <wps:txbx>
                      <w:txbxContent>
                        <w:p w14:paraId="60E45DB2">
                          <w:pPr>
                            <w:pStyle w:val="239"/>
                          </w:pPr>
                        </w:p>
                        <w:p w14:paraId="3BF94243">
                          <w:pPr>
                            <w:pStyle w:val="239"/>
                          </w:pPr>
                        </w:p>
                      </w:txbxContent>
                    </wps:txbx>
                    <wps:bodyPr wrap="square" lIns="0" tIns="0" rIns="0" bIns="0" upright="1"/>
                  </wps:wsp>
                </a:graphicData>
              </a:graphic>
            </wp:anchor>
          </w:drawing>
        </mc:Choice>
        <mc:Fallback>
          <w:pict>
            <v:rect id="_x0000_s1026" o:spid="_x0000_s1026" o:spt="1" style="position:absolute;left:0pt;margin-left:225.6pt;margin-top:774.3pt;height:144pt;width:144pt;mso-position-horizontal-relative:page;mso-position-vertical-relative:page;z-index:-251655168;mso-width-relative:page;mso-height-relative:page;" filled="f" stroked="f" coordsize="21600,21600" o:gfxdata="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FH3X90AAAANAQAADwAAAAAAAAABACAAAAAiAAAAZHJzL2Rv&#10;d25yZXYueG1sUEsBAhQAFAAAAAgAh07iQEZKBhXDAQAAjAMAAA4AAAAAAAAAAQAgAAAALAEAAGRy&#10;cy9lMm9Eb2MueG1sUEsFBgAAAAAGAAYAWQEAAGEFAAAAAA==&#10;">
              <v:fill on="f" focussize="0,0"/>
              <v:stroke on="f" joinstyle="round"/>
              <v:imagedata o:title=""/>
              <o:lock v:ext="edit" aspectratio="f"/>
              <v:textbox inset="0mm,0mm,0mm,0mm">
                <w:txbxContent>
                  <w:p w14:paraId="60E45DB2">
                    <w:pPr>
                      <w:pStyle w:val="239"/>
                    </w:pPr>
                  </w:p>
                  <w:p w14:paraId="3BF94243">
                    <w:pPr>
                      <w:pStyle w:val="239"/>
                    </w:pP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2A767E"/>
    <w:multiLevelType w:val="multilevel"/>
    <w:tmpl w:val="A72A767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C0F3714"/>
    <w:multiLevelType w:val="multilevel"/>
    <w:tmpl w:val="AC0F3714"/>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74517130"/>
    <w:multiLevelType w:val="multilevel"/>
    <w:tmpl w:val="74517130"/>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CA19C3"/>
    <w:rsid w:val="2FD76F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rPr>
  </w:style>
  <w:style w:type="paragraph" w:styleId="8">
    <w:name w:val="heading 6"/>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3"/>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paragraph" w:styleId="5">
    <w:name w:val="Normal Indent"/>
    <w:basedOn w:val="1"/>
    <w:qFormat/>
    <w:uiPriority w:val="0"/>
    <w:pPr>
      <w:ind w:firstLine="420"/>
    </w:pPr>
    <w:rPr>
      <w:szCs w:val="20"/>
    </w:rPr>
  </w:style>
  <w:style w:type="paragraph" w:styleId="12">
    <w:name w:val="toc 7"/>
    <w:basedOn w:val="1"/>
    <w:next w:val="1"/>
    <w:unhideWhenUsed/>
    <w:qFormat/>
    <w:uiPriority w:val="39"/>
    <w:pPr>
      <w:spacing w:after="57"/>
      <w:ind w:left="1701"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qFormat/>
    <w:uiPriority w:val="0"/>
    <w:rPr>
      <w:rFonts w:ascii="楷体_GB2312" w:hAnsi="Arial" w:eastAsia="楷体_GB2312"/>
      <w:sz w:val="28"/>
      <w:szCs w:val="20"/>
    </w:rPr>
  </w:style>
  <w:style w:type="paragraph" w:styleId="16">
    <w:name w:val="Body Text Indent"/>
    <w:basedOn w:val="1"/>
    <w:next w:val="17"/>
    <w:qFormat/>
    <w:uiPriority w:val="0"/>
    <w:pPr>
      <w:tabs>
        <w:tab w:val="left" w:pos="1080"/>
      </w:tabs>
      <w:spacing w:line="120" w:lineRule="auto"/>
      <w:ind w:firstLine="640"/>
    </w:pPr>
    <w:rPr>
      <w:sz w:val="32"/>
    </w:rPr>
  </w:style>
  <w:style w:type="paragraph" w:styleId="17">
    <w:name w:val="envelope return"/>
    <w:basedOn w:val="1"/>
    <w:unhideWhenUsed/>
    <w:qFormat/>
    <w:uiPriority w:val="99"/>
    <w:rPr>
      <w:rFonts w:ascii="Arial" w:hAnsi="Arial"/>
    </w:rPr>
  </w:style>
  <w:style w:type="paragraph" w:styleId="18">
    <w:name w:val="index 4"/>
    <w:basedOn w:val="1"/>
    <w:next w:val="1"/>
    <w:unhideWhenUsed/>
    <w:qFormat/>
    <w:uiPriority w:val="99"/>
    <w:pPr>
      <w:ind w:left="600"/>
    </w:pPr>
    <w:rPr>
      <w:rFonts w:ascii="Verdana" w:hAnsi="Verdana"/>
      <w:szCs w:val="20"/>
    </w:rPr>
  </w:style>
  <w:style w:type="paragraph" w:styleId="19">
    <w:name w:val="toc 5"/>
    <w:basedOn w:val="1"/>
    <w:next w:val="1"/>
    <w:unhideWhenUsed/>
    <w:qFormat/>
    <w:uiPriority w:val="39"/>
    <w:pPr>
      <w:spacing w:after="57"/>
      <w:ind w:left="1134" w:firstLine="0"/>
    </w:pPr>
  </w:style>
  <w:style w:type="paragraph" w:styleId="20">
    <w:name w:val="toc 3"/>
    <w:basedOn w:val="1"/>
    <w:next w:val="1"/>
    <w:unhideWhenUsed/>
    <w:qFormat/>
    <w:uiPriority w:val="39"/>
    <w:pPr>
      <w:spacing w:after="57"/>
      <w:ind w:left="567" w:firstLine="0"/>
    </w:pPr>
  </w:style>
  <w:style w:type="paragraph" w:styleId="21">
    <w:name w:val="Plain Text"/>
    <w:basedOn w:val="1"/>
    <w:qFormat/>
    <w:uiPriority w:val="0"/>
    <w:rPr>
      <w:rFonts w:ascii="宋体" w:hAnsi="宋体"/>
      <w:szCs w:val="20"/>
    </w:rPr>
  </w:style>
  <w:style w:type="paragraph" w:styleId="22">
    <w:name w:val="toc 8"/>
    <w:basedOn w:val="1"/>
    <w:next w:val="1"/>
    <w:unhideWhenUsed/>
    <w:qFormat/>
    <w:uiPriority w:val="39"/>
    <w:pPr>
      <w:spacing w:after="57"/>
      <w:ind w:left="1984" w:firstLine="0"/>
    </w:pPr>
  </w:style>
  <w:style w:type="paragraph" w:styleId="23">
    <w:name w:val="Date"/>
    <w:basedOn w:val="1"/>
    <w:next w:val="1"/>
    <w:qFormat/>
    <w:uiPriority w:val="0"/>
    <w:rPr>
      <w:szCs w:val="20"/>
    </w:rPr>
  </w:style>
  <w:style w:type="paragraph" w:styleId="24">
    <w:name w:val="endnote text"/>
    <w:basedOn w:val="1"/>
    <w:link w:val="192"/>
    <w:semiHidden/>
    <w:unhideWhenUsed/>
    <w:qFormat/>
    <w:uiPriority w:val="99"/>
    <w:pPr>
      <w:spacing w:line="240" w:lineRule="auto"/>
    </w:pPr>
    <w:rPr>
      <w:sz w:val="20"/>
    </w:rPr>
  </w:style>
  <w:style w:type="paragraph" w:styleId="25">
    <w:name w:val="Balloon Text"/>
    <w:basedOn w:val="1"/>
    <w:link w:val="567"/>
    <w:semiHidden/>
    <w:unhideWhenUsed/>
    <w:qFormat/>
    <w:uiPriority w:val="99"/>
    <w:pPr>
      <w:spacing w:line="240" w:lineRule="auto"/>
    </w:pPr>
    <w:rPr>
      <w:sz w:val="18"/>
      <w:szCs w:val="18"/>
    </w:rPr>
  </w:style>
  <w:style w:type="paragraph" w:styleId="26">
    <w:name w:val="footer"/>
    <w:basedOn w:val="1"/>
    <w:link w:val="66"/>
    <w:unhideWhenUsed/>
    <w:qFormat/>
    <w:uiPriority w:val="99"/>
    <w:pPr>
      <w:tabs>
        <w:tab w:val="center" w:pos="7143"/>
        <w:tab w:val="right" w:pos="14287"/>
      </w:tabs>
      <w:spacing w:line="240" w:lineRule="auto"/>
    </w:pPr>
  </w:style>
  <w:style w:type="paragraph" w:styleId="27">
    <w:name w:val="header"/>
    <w:basedOn w:val="1"/>
    <w:unhideWhenUsed/>
    <w:qFormat/>
    <w:uiPriority w:val="99"/>
    <w:pPr>
      <w:tabs>
        <w:tab w:val="center" w:pos="7143"/>
        <w:tab w:val="right" w:pos="14287"/>
      </w:tabs>
      <w:spacing w:line="240" w:lineRule="auto"/>
    </w:pPr>
  </w:style>
  <w:style w:type="paragraph" w:styleId="28">
    <w:name w:val="toc 1"/>
    <w:basedOn w:val="1"/>
    <w:next w:val="1"/>
    <w:unhideWhenUsed/>
    <w:qFormat/>
    <w:uiPriority w:val="39"/>
    <w:pPr>
      <w:spacing w:after="57"/>
      <w:ind w:firstLine="0"/>
    </w:pPr>
  </w:style>
  <w:style w:type="paragraph" w:styleId="29">
    <w:name w:val="toc 4"/>
    <w:basedOn w:val="1"/>
    <w:next w:val="1"/>
    <w:unhideWhenUsed/>
    <w:qFormat/>
    <w:uiPriority w:val="39"/>
    <w:pPr>
      <w:spacing w:after="57"/>
      <w:ind w:left="850" w:firstLine="0"/>
    </w:pPr>
  </w:style>
  <w:style w:type="paragraph" w:styleId="30">
    <w:name w:val="Subtitle"/>
    <w:basedOn w:val="1"/>
    <w:next w:val="1"/>
    <w:link w:val="65"/>
    <w:qFormat/>
    <w:uiPriority w:val="11"/>
    <w:pPr>
      <w:spacing w:before="200" w:after="200"/>
    </w:pPr>
  </w:style>
  <w:style w:type="paragraph" w:styleId="31">
    <w:name w:val="footnote text"/>
    <w:basedOn w:val="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firstLine="0"/>
    </w:pPr>
  </w:style>
  <w:style w:type="paragraph" w:styleId="33">
    <w:name w:val="Body Text Indent 3"/>
    <w:basedOn w:val="1"/>
    <w:qFormat/>
    <w:uiPriority w:val="0"/>
    <w:pPr>
      <w:ind w:firstLine="523"/>
    </w:pPr>
    <w:rPr>
      <w:rFonts w:ascii="仿宋_GB2312" w:eastAsia="仿宋_GB2312"/>
    </w:r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firstLine="0"/>
    </w:pPr>
  </w:style>
  <w:style w:type="paragraph" w:styleId="36">
    <w:name w:val="toc 9"/>
    <w:basedOn w:val="1"/>
    <w:next w:val="1"/>
    <w:unhideWhenUsed/>
    <w:qFormat/>
    <w:uiPriority w:val="39"/>
    <w:pPr>
      <w:spacing w:after="57"/>
      <w:ind w:left="2268" w:firstLine="0"/>
    </w:pPr>
  </w:style>
  <w:style w:type="paragraph" w:styleId="37">
    <w:name w:val="Normal (Web)"/>
    <w:basedOn w:val="1"/>
    <w:qFormat/>
    <w:uiPriority w:val="0"/>
    <w:pPr>
      <w:spacing w:before="100" w:beforeAutospacing="1" w:after="100" w:afterAutospacing="1"/>
      <w:jc w:val="left"/>
    </w:pPr>
  </w:style>
  <w:style w:type="paragraph" w:styleId="38">
    <w:name w:val="Title"/>
    <w:basedOn w:val="1"/>
    <w:next w:val="1"/>
    <w:qFormat/>
    <w:uiPriority w:val="10"/>
    <w:pPr>
      <w:spacing w:before="300" w:after="200"/>
      <w:contextualSpacing/>
    </w:pPr>
    <w:rPr>
      <w:sz w:val="48"/>
      <w:szCs w:val="48"/>
    </w:rPr>
  </w:style>
  <w:style w:type="paragraph" w:styleId="39">
    <w:name w:val="Body Text First Indent"/>
    <w:basedOn w:val="15"/>
    <w:next w:val="1"/>
    <w:qFormat/>
    <w:uiPriority w:val="0"/>
    <w:pPr>
      <w:ind w:firstLine="420"/>
    </w:pPr>
  </w:style>
  <w:style w:type="paragraph" w:styleId="40">
    <w:name w:val="Body Text First Indent 2"/>
    <w:basedOn w:val="16"/>
    <w:next w:val="1"/>
    <w:qFormat/>
    <w:uiPriority w:val="0"/>
    <w:pPr>
      <w:spacing w:after="120" w:line="380" w:lineRule="exact"/>
      <w:ind w:left="420" w:firstLine="420"/>
    </w:pPr>
    <w:rPr>
      <w:sz w:val="21"/>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styleId="44">
    <w:name w:val="Strong"/>
    <w:basedOn w:val="43"/>
    <w:qFormat/>
    <w:uiPriority w:val="0"/>
    <w:rPr>
      <w:rFonts w:ascii="Times New Roman" w:hAnsi="Times New Roman" w:eastAsia="宋体" w:cs="Times New Roman"/>
      <w:b/>
    </w:rPr>
  </w:style>
  <w:style w:type="character" w:styleId="45">
    <w:name w:val="endnote reference"/>
    <w:semiHidden/>
    <w:unhideWhenUsed/>
    <w:qFormat/>
    <w:uiPriority w:val="99"/>
    <w:rPr>
      <w:vertAlign w:val="superscript"/>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footnote reference"/>
    <w:unhideWhenUsed/>
    <w:qFormat/>
    <w:uiPriority w:val="99"/>
    <w:rPr>
      <w:vertAlign w:val="superscript"/>
    </w:rPr>
  </w:style>
  <w:style w:type="paragraph" w:customStyle="1" w:styleId="48">
    <w:name w:val="Default"/>
    <w:qFormat/>
    <w:uiPriority w:val="0"/>
    <w:pPr>
      <w:widowControl w:val="0"/>
    </w:pPr>
    <w:rPr>
      <w:rFonts w:hint="default" w:ascii="Times New Roman" w:hAnsi="Times New Roman" w:eastAsia="宋体" w:cs="Calibri"/>
      <w:color w:val="000000"/>
      <w:sz w:val="24"/>
      <w:szCs w:val="24"/>
      <w:lang w:val="en-US" w:eastAsia="zh-CN" w:bidi="ar-SA"/>
    </w:rPr>
  </w:style>
  <w:style w:type="character" w:customStyle="1" w:styleId="49">
    <w:name w:val="Heading 6 Char"/>
    <w:basedOn w:val="43"/>
    <w:qFormat/>
    <w:uiPriority w:val="9"/>
    <w:rPr>
      <w:rFonts w:ascii="Arial" w:hAnsi="Arial" w:eastAsia="Arial" w:cs="Arial"/>
      <w:b/>
      <w:bCs/>
      <w:sz w:val="22"/>
      <w:szCs w:val="22"/>
    </w:rPr>
  </w:style>
  <w:style w:type="character" w:customStyle="1" w:styleId="50">
    <w:name w:val="Heading 7 Char"/>
    <w:basedOn w:val="43"/>
    <w:qFormat/>
    <w:uiPriority w:val="9"/>
    <w:rPr>
      <w:rFonts w:ascii="Arial" w:hAnsi="Arial" w:eastAsia="Arial" w:cs="Arial"/>
      <w:b/>
      <w:bCs/>
      <w:i/>
      <w:iCs/>
      <w:sz w:val="22"/>
      <w:szCs w:val="22"/>
    </w:rPr>
  </w:style>
  <w:style w:type="character" w:customStyle="1" w:styleId="51">
    <w:name w:val="Heading 8 Char"/>
    <w:basedOn w:val="43"/>
    <w:qFormat/>
    <w:uiPriority w:val="9"/>
    <w:rPr>
      <w:rFonts w:ascii="Arial" w:hAnsi="Arial" w:eastAsia="Arial" w:cs="Arial"/>
      <w:i/>
      <w:iCs/>
      <w:sz w:val="22"/>
      <w:szCs w:val="22"/>
    </w:rPr>
  </w:style>
  <w:style w:type="character" w:customStyle="1" w:styleId="52">
    <w:name w:val="Heading 9 Char"/>
    <w:basedOn w:val="43"/>
    <w:qFormat/>
    <w:uiPriority w:val="9"/>
    <w:rPr>
      <w:rFonts w:ascii="Arial" w:hAnsi="Arial" w:eastAsia="Arial" w:cs="Arial"/>
      <w:i/>
      <w:iCs/>
      <w:sz w:val="21"/>
      <w:szCs w:val="21"/>
    </w:rPr>
  </w:style>
  <w:style w:type="character" w:customStyle="1" w:styleId="53">
    <w:name w:val="Subtitle Char"/>
    <w:basedOn w:val="43"/>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Caption Char"/>
    <w:qFormat/>
    <w:uiPriority w:val="99"/>
  </w:style>
  <w:style w:type="character" w:customStyle="1" w:styleId="57">
    <w:name w:val="Endnote Text Char"/>
    <w:qFormat/>
    <w:uiPriority w:val="99"/>
    <w:rPr>
      <w:sz w:val="20"/>
    </w:rPr>
  </w:style>
  <w:style w:type="paragraph" w:customStyle="1" w:styleId="58">
    <w:name w:val="TOC Heading"/>
    <w:unhideWhenUsed/>
    <w:qFormat/>
    <w:uiPriority w:val="39"/>
    <w:rPr>
      <w:rFonts w:hint="default" w:ascii="Times New Roman" w:hAnsi="Times New Roman" w:eastAsia="宋体" w:cs="Times New Roman"/>
    </w:rPr>
  </w:style>
  <w:style w:type="paragraph" w:customStyle="1" w:styleId="59">
    <w:name w:val="正文文本1"/>
    <w:basedOn w:val="1"/>
    <w:link w:val="206"/>
    <w:qFormat/>
    <w:uiPriority w:val="0"/>
    <w:pPr>
      <w:jc w:val="center"/>
    </w:pPr>
    <w:rPr>
      <w:sz w:val="21"/>
    </w:rPr>
  </w:style>
  <w:style w:type="character" w:customStyle="1" w:styleId="60">
    <w:name w:val="标题 6 Char1"/>
    <w:link w:val="8"/>
    <w:qFormat/>
    <w:uiPriority w:val="9"/>
    <w:rPr>
      <w:rFonts w:ascii="Arial" w:hAnsi="Arial" w:eastAsia="Arial" w:cs="Arial"/>
      <w:b/>
      <w:bCs/>
      <w:sz w:val="22"/>
      <w:szCs w:val="22"/>
    </w:rPr>
  </w:style>
  <w:style w:type="character" w:customStyle="1" w:styleId="61">
    <w:name w:val="标题 7 Char1"/>
    <w:link w:val="9"/>
    <w:qFormat/>
    <w:uiPriority w:val="9"/>
    <w:rPr>
      <w:rFonts w:ascii="Arial" w:hAnsi="Arial" w:eastAsia="Arial" w:cs="Arial"/>
      <w:b/>
      <w:bCs/>
      <w:i/>
      <w:iCs/>
      <w:sz w:val="22"/>
      <w:szCs w:val="22"/>
    </w:rPr>
  </w:style>
  <w:style w:type="character" w:customStyle="1" w:styleId="62">
    <w:name w:val="标题 8 Char1"/>
    <w:link w:val="10"/>
    <w:qFormat/>
    <w:uiPriority w:val="9"/>
    <w:rPr>
      <w:rFonts w:ascii="Arial" w:hAnsi="Arial" w:eastAsia="Arial" w:cs="Arial"/>
      <w:i/>
      <w:iCs/>
      <w:sz w:val="22"/>
      <w:szCs w:val="22"/>
    </w:rPr>
  </w:style>
  <w:style w:type="character" w:customStyle="1" w:styleId="63">
    <w:name w:val="标题 9 Char1"/>
    <w:link w:val="11"/>
    <w:qFormat/>
    <w:uiPriority w:val="9"/>
    <w:rPr>
      <w:rFonts w:ascii="Arial" w:hAnsi="Arial" w:eastAsia="Arial" w:cs="Arial"/>
      <w:i/>
      <w:iCs/>
      <w:sz w:val="21"/>
      <w:szCs w:val="21"/>
    </w:rPr>
  </w:style>
  <w:style w:type="paragraph" w:styleId="64">
    <w:name w:val="No Spacing"/>
    <w:qFormat/>
    <w:uiPriority w:val="1"/>
    <w:rPr>
      <w:rFonts w:hint="default" w:ascii="Times New Roman" w:hAnsi="Times New Roman" w:eastAsia="宋体" w:cs="Times New Roman"/>
      <w:lang w:val="en-US" w:eastAsia="zh-CN" w:bidi="ar-SA"/>
    </w:rPr>
  </w:style>
  <w:style w:type="character" w:customStyle="1" w:styleId="65">
    <w:name w:val="副标题 Char2"/>
    <w:link w:val="30"/>
    <w:qFormat/>
    <w:uiPriority w:val="11"/>
    <w:rPr>
      <w:sz w:val="24"/>
      <w:szCs w:val="24"/>
    </w:rPr>
  </w:style>
  <w:style w:type="character" w:customStyle="1" w:styleId="66">
    <w:name w:val="页脚 Char1"/>
    <w:link w:val="26"/>
    <w:qFormat/>
    <w:uiPriority w:val="99"/>
  </w:style>
  <w:style w:type="table" w:customStyle="1" w:styleId="6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8">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shd w:val="clear" w:color="F1F1F1" w:themeColor="text1" w:themeTint="0D" w:fill="F1F1F1" w:themeFill="text1" w:themeFillTint="0D"/>
      </w:tcPr>
    </w:tblStylePr>
    <w:tblStylePr w:type="band2Vert">
      <w:tblPr/>
    </w:tblStylePr>
    <w:tblStylePr w:type="band1Horz">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69">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0">
    <w:name w:val="Plain Table 3"/>
    <w:qFormat/>
    <w:uiPriority w:val="99"/>
    <w:tblPr>
      <w:tblCellMar>
        <w:top w:w="0" w:type="dxa"/>
        <w:left w:w="0" w:type="dxa"/>
        <w:bottom w:w="0" w:type="dxa"/>
        <w:right w:w="0" w:type="dxa"/>
      </w:tblCellMar>
    </w:tblPr>
    <w:tblStylePr w:type="firstRow">
      <w:rPr>
        <w:b/>
        <w:caps/>
        <w:color w:val="404040"/>
      </w:rPr>
      <w:tblPr/>
      <w:tcPr>
        <w:tcBorders>
          <w:top w:val="nil"/>
          <w:left w:val="nil"/>
          <w:bottom w:val="single" w:color="404040" w:sz="4" w:space="0"/>
          <w:right w:val="nil"/>
        </w:tcBorders>
      </w:tcPr>
    </w:tblStylePr>
    <w:tblStylePr w:type="lastRow">
      <w:rPr>
        <w:b/>
        <w:caps/>
        <w:color w:val="404040"/>
      </w:rPr>
      <w:tblPr/>
    </w:tblStylePr>
    <w:tblStylePr w:type="firstCol">
      <w:rPr>
        <w:b/>
        <w:caps/>
        <w:color w:val="404040"/>
      </w:rPr>
      <w:tblPr/>
      <w:tcPr>
        <w:tcBorders>
          <w:top w:val="nil"/>
          <w:left w:val="nil"/>
          <w:bottom w:val="nil"/>
          <w:right w:val="single" w:color="404040" w:sz="4" w:space="0"/>
        </w:tcBorders>
      </w:tcPr>
    </w:tblStylePr>
    <w:tblStylePr w:type="lastCol">
      <w:rPr>
        <w:b/>
        <w:caps/>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1">
    <w:name w:val="Plain Table 4"/>
    <w:qFormat/>
    <w:uiPriority w:val="99"/>
    <w:tblPr>
      <w:tblCellMar>
        <w:top w:w="0" w:type="dxa"/>
        <w:left w:w="0" w:type="dxa"/>
        <w:bottom w:w="0" w:type="dxa"/>
        <w:right w:w="0" w:type="dxa"/>
      </w:tblCellMar>
    </w:tblPr>
    <w:tblStylePr w:type="firstRow">
      <w:rPr>
        <w:b/>
        <w:color w:val="404040"/>
      </w:rPr>
      <w:tbl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2">
    <w:name w:val="Plain Table 5"/>
    <w:qFormat/>
    <w:uiPriority w:val="99"/>
    <w:tblPr>
      <w:tblCellMar>
        <w:top w:w="0" w:type="dxa"/>
        <w:left w:w="0" w:type="dxa"/>
        <w:bottom w:w="0" w:type="dxa"/>
        <w:right w:w="0" w:type="dxa"/>
      </w:tblCellMar>
    </w:tblPr>
    <w:tblStylePr w:type="firstRow">
      <w:rPr>
        <w:i/>
        <w:color w:val="404040"/>
      </w:rPr>
      <w:tblPr/>
      <w:tcPr>
        <w:tcBorders>
          <w:left w:val="nil"/>
          <w:bottom w:val="single" w:color="404040" w:sz="4" w:space="0"/>
          <w:right w:val="nil"/>
        </w:tcBorders>
        <w:shd w:val="clear" w:color="FFFFFF" w:fill="auto"/>
      </w:tcPr>
    </w:tblStylePr>
    <w:tblStylePr w:type="lastRow">
      <w:rPr>
        <w:i/>
        <w:color w:val="404040"/>
      </w:rPr>
      <w:tblPr/>
      <w:tcPr>
        <w:tcBorders>
          <w:top w:val="single" w:color="404040" w:sz="4" w:space="0"/>
          <w:left w:val="nil"/>
          <w:right w:val="nil"/>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1F1F1" w:themeColor="text1" w:themeTint="0D" w:fill="F1F1F1" w:themeFill="text1" w:themeFillTint="0D"/>
      </w:tcPr>
    </w:tblStylePr>
    <w:tblStylePr w:type="band2Vert">
      <w:tblPr/>
    </w:tblStylePr>
    <w:tblStylePr w:type="band1Horz">
      <w:rPr>
        <w:rFonts w:ascii="Arial" w:hAnsi="Arial"/>
        <w:color w:val="404040"/>
        <w:sz w:val="22"/>
      </w:rPr>
      <w:tblPr/>
      <w:tcPr>
        <w:shd w:val="clear" w:color="F1F1F1" w:themeColor="text1" w:themeTint="0D" w:fill="F1F1F1" w:themeFill="text1" w:themeFillTint="0D"/>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3">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blPr/>
      <w:tcPr>
        <w:tcBorders>
          <w:bottom w:val="single" w:color="696969" w:themeColor="tex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blPr/>
      <w:tcPr>
        <w:tcBorders>
          <w:bottom w:val="single" w:color="98B5D8" w:themeColor="accent1"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blPr/>
      <w:tcPr>
        <w:tcBorders>
          <w:bottom w:val="single" w:color="DA9896" w:themeColor="accent2"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blPr/>
      <w:tcPr>
        <w:tcBorders>
          <w:bottom w:val="single" w:color="C4D79E" w:themeColor="accent3"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blPr/>
      <w:tcPr>
        <w:tcBorders>
          <w:bottom w:val="single" w:color="B4A4C8" w:themeColor="accent4"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blPr/>
      <w:tcPr>
        <w:tcBorders>
          <w:bottom w:val="single" w:color="95CEDD" w:themeColor="accent5"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7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blPr/>
      <w:tcPr>
        <w:tcBorders>
          <w:bottom w:val="single" w:color="FAC192" w:themeColor="accent6" w:themeTint="95" w:sz="12" w:space="0"/>
        </w:tcBorders>
      </w:tcPr>
    </w:tblStylePr>
    <w:tblStylePr w:type="lastRow">
      <w:rPr>
        <w:b/>
        <w:color w:val="404040"/>
      </w:rPr>
      <w:tblPr/>
    </w:tblStylePr>
    <w:tblStylePr w:type="firstCol">
      <w:rPr>
        <w:b/>
        <w:color w:val="404040"/>
      </w:rPr>
      <w:tblPr/>
    </w:tblStylePr>
    <w:tblStylePr w:type="lastCol">
      <w:rPr>
        <w:b/>
        <w:color w:val="404040"/>
      </w:rPr>
      <w:tblPr/>
    </w:tblStylePr>
    <w:tblStylePr w:type="band1Vert">
      <w:tblPr/>
    </w:tblStylePr>
    <w:tblStylePr w:type="band2Vert">
      <w:tbl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0">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blPr/>
      <w:tcPr>
        <w:tcBorders>
          <w:top w:val="nil"/>
          <w:left w:val="nil"/>
          <w:bottom w:val="single" w:color="696969" w:themeColor="text1" w:themeTint="95" w:sz="12" w:space="0"/>
          <w:right w:val="nil"/>
        </w:tcBorders>
        <w:shd w:val="clear" w:color="FFFFFF" w:fill="auto"/>
      </w:tcPr>
    </w:tblStylePr>
    <w:tblStylePr w:type="lastRow">
      <w:rPr>
        <w:b/>
        <w:color w:val="404040"/>
      </w:rPr>
      <w:tblPr/>
      <w:tcPr>
        <w:tcBorders>
          <w:top w:val="single" w:color="696969" w:themeColor="text1" w:themeTint="9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blPr/>
      <w:tcPr>
        <w:tcBorders>
          <w:top w:val="nil"/>
          <w:left w:val="nil"/>
          <w:bottom w:val="single" w:color="5D8BC2" w:themeColor="accent1" w:themeTint="EA" w:sz="12" w:space="0"/>
          <w:right w:val="nil"/>
        </w:tcBorders>
        <w:shd w:val="clear" w:color="FFFFFF" w:fill="auto"/>
      </w:tcPr>
    </w:tblStylePr>
    <w:tblStylePr w:type="lastRow">
      <w:rPr>
        <w:b/>
        <w:color w:val="404040"/>
      </w:rPr>
      <w:tblPr/>
      <w:tcPr>
        <w:tcBorders>
          <w:top w:val="single" w:color="5D8BC2" w:themeColor="accent1" w:themeTint="E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BE5F1" w:themeColor="accent1" w:themeTint="34" w:fill="DBE5F1" w:themeFill="accent1" w:themeFillTint="34"/>
      </w:tcPr>
    </w:tblStylePr>
    <w:tblStylePr w:type="band2Vert">
      <w:tblPr/>
    </w:tblStylePr>
    <w:tblStylePr w:type="band1Horz">
      <w:rPr>
        <w:rFonts w:ascii="Arial" w:hAnsi="Arial"/>
        <w:color w:val="404040"/>
        <w:sz w:val="22"/>
      </w:rPr>
      <w:tblPr/>
      <w:tcPr>
        <w:shd w:val="clear" w:color="DBE5F1" w:themeColor="accent1" w:themeTint="34" w:fill="DBE5F1"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blPr/>
      <w:tcPr>
        <w:tcBorders>
          <w:top w:val="nil"/>
          <w:left w:val="nil"/>
          <w:bottom w:val="single" w:color="D99795" w:themeColor="accent2" w:themeTint="97" w:sz="12" w:space="0"/>
          <w:right w:val="nil"/>
        </w:tcBorders>
        <w:shd w:val="clear" w:color="FFFFFF" w:fill="auto"/>
      </w:tcPr>
    </w:tblStylePr>
    <w:tblStylePr w:type="lastRow">
      <w:rPr>
        <w:b/>
        <w:color w:val="404040"/>
      </w:rPr>
      <w:tblPr/>
      <w:tcPr>
        <w:tcBorders>
          <w:top w:val="single" w:color="D99795" w:themeColor="accent2" w:themeTint="97"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blPr/>
      <w:tcPr>
        <w:tcBorders>
          <w:top w:val="nil"/>
          <w:left w:val="nil"/>
          <w:bottom w:val="single" w:color="9BBB59" w:themeColor="accent3" w:themeTint="FE" w:sz="12" w:space="0"/>
          <w:right w:val="nil"/>
        </w:tcBorders>
        <w:shd w:val="clear" w:color="FFFFFF" w:fill="auto"/>
      </w:tcPr>
    </w:tblStylePr>
    <w:tblStylePr w:type="lastRow">
      <w:rPr>
        <w:b/>
        <w:color w:val="404040"/>
      </w:rPr>
      <w:tblPr/>
      <w:tcPr>
        <w:tcBorders>
          <w:top w:val="single" w:color="9BBB59" w:themeColor="accent3" w:themeTint="FE"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blPr/>
      <w:tcPr>
        <w:tcBorders>
          <w:top w:val="nil"/>
          <w:left w:val="nil"/>
          <w:bottom w:val="single" w:color="B2A1C6" w:themeColor="accent4" w:themeTint="9A" w:sz="12" w:space="0"/>
          <w:right w:val="nil"/>
        </w:tcBorders>
        <w:shd w:val="clear" w:color="FFFFFF" w:fill="auto"/>
      </w:tcPr>
    </w:tblStylePr>
    <w:tblStylePr w:type="lastRow">
      <w:rPr>
        <w:b/>
        <w:color w:val="404040"/>
      </w:rPr>
      <w:tblPr/>
      <w:tcPr>
        <w:tcBorders>
          <w:top w:val="single" w:color="B2A1C6" w:themeColor="accent4" w:themeTint="9A"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blPr/>
      <w:tcPr>
        <w:tcBorders>
          <w:top w:val="nil"/>
          <w:left w:val="nil"/>
          <w:bottom w:val="single" w:color="4BACC6" w:themeColor="accent5" w:sz="12" w:space="0"/>
          <w:right w:val="nil"/>
        </w:tcBorders>
        <w:shd w:val="clear" w:color="FFFFFF" w:fill="auto"/>
      </w:tcPr>
    </w:tblStylePr>
    <w:tblStylePr w:type="lastRow">
      <w:rPr>
        <w:b/>
        <w:color w:val="404040"/>
      </w:rPr>
      <w:tblPr/>
      <w:tcPr>
        <w:tcBorders>
          <w:top w:val="single" w:color="4BACC6" w:themeColor="accent5"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blPr/>
      <w:tcPr>
        <w:tcBorders>
          <w:top w:val="nil"/>
          <w:left w:val="nil"/>
          <w:bottom w:val="single" w:color="F79646" w:themeColor="accent6" w:sz="12" w:space="0"/>
          <w:right w:val="nil"/>
        </w:tcBorders>
        <w:shd w:val="clear" w:color="FFFFFF" w:fill="auto"/>
      </w:tcPr>
    </w:tblStylePr>
    <w:tblStylePr w:type="lastRow">
      <w:rPr>
        <w:b/>
        <w:color w:val="404040"/>
      </w:rPr>
      <w:tblPr/>
      <w:tcPr>
        <w:tcBorders>
          <w:top w:val="single" w:color="F79646" w:themeColor="accent6" w:sz="4" w:space="0"/>
          <w:left w:val="nil"/>
          <w:bottom w:val="nil"/>
          <w:right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7">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themeColor="accent1" w:themeTint="34" w:fill="DBE5F1" w:themeFill="accent1" w:themeFillTint="34"/>
      </w:tcPr>
    </w:tblStylePr>
    <w:tblStylePr w:type="band2Vert">
      <w:tblPr/>
    </w:tblStylePr>
    <w:tblStylePr w:type="band1Horz">
      <w:rPr>
        <w:rFonts w:ascii="Arial" w:hAnsi="Arial"/>
        <w:color w:val="404040"/>
        <w:sz w:val="22"/>
      </w:rPr>
      <w:tblPr/>
      <w:tcPr>
        <w:shd w:val="clear" w:color="DBE5F1" w:themeColor="accent1" w:themeTint="34" w:fill="DBE5F1" w:themeFill="accen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8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4">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themeColor="text1" w:themeTint="34" w:fill="CACACA" w:themeFill="text1" w:themeFillTint="34"/>
      </w:tcPr>
    </w:tblStylePr>
    <w:tblStylePr w:type="band2Vert">
      <w:tblPr/>
    </w:tblStylePr>
    <w:tblStylePr w:type="band1Horz">
      <w:rPr>
        <w:rFonts w:ascii="Arial" w:hAnsi="Arial"/>
        <w:color w:val="404040"/>
        <w:sz w:val="22"/>
      </w:rPr>
      <w:tblPr/>
      <w:tcPr>
        <w:shd w:val="clear" w:color="CACACA" w:themeColor="text1" w:themeTint="34" w:fill="CACACA" w:themeFill="text1"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bl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blPr/>
      <w:tcPr>
        <w:tcBorders>
          <w:top w:val="single" w:color="5D8BC2" w:themeColor="accent1" w:themeTint="E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CE6F2" w:themeColor="accent1" w:themeTint="32" w:fill="DCE6F2" w:themeFill="accent1" w:themeFillTint="32"/>
      </w:tcPr>
    </w:tblStylePr>
    <w:tblStylePr w:type="band2Vert">
      <w:tblPr/>
    </w:tblStylePr>
    <w:tblStylePr w:type="band1Horz">
      <w:rPr>
        <w:rFonts w:ascii="Arial" w:hAnsi="Arial"/>
        <w:color w:val="404040"/>
        <w:sz w:val="22"/>
      </w:rPr>
      <w:tblPr/>
      <w:tcPr>
        <w:shd w:val="clear" w:color="DCE6F2" w:themeColor="accent1" w:themeTint="32" w:fill="DCE6F2" w:themeFill="accent1"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bl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blPr/>
      <w:tcPr>
        <w:tcBorders>
          <w:top w:val="single" w:color="D99795" w:themeColor="accent2" w:themeTint="97"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2DCDC" w:themeColor="accent2" w:themeTint="32" w:fill="F2DCDC" w:themeFill="accent2" w:themeFillTint="32"/>
      </w:tcPr>
    </w:tblStylePr>
    <w:tblStylePr w:type="band2Vert">
      <w:tblPr/>
    </w:tblStylePr>
    <w:tblStylePr w:type="band1Horz">
      <w:rPr>
        <w:rFonts w:ascii="Arial" w:hAnsi="Arial"/>
        <w:color w:val="404040"/>
        <w:sz w:val="22"/>
      </w:rPr>
      <w:tblPr/>
      <w:tcPr>
        <w:shd w:val="clear" w:color="F2DCDC" w:themeColor="accent2" w:themeTint="32" w:fill="F2DCDC" w:themeFill="accent2" w:themeFillTint="32"/>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bl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blPr/>
      <w:tcPr>
        <w:tcBorders>
          <w:top w:val="single" w:color="9BBB59" w:themeColor="accent3" w:themeTint="FE"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AF1DD" w:themeColor="accent3" w:themeTint="34" w:fill="EAF1DD" w:themeFill="accent3" w:themeFillTint="34"/>
      </w:tcPr>
    </w:tblStylePr>
    <w:tblStylePr w:type="band2Vert">
      <w:tblPr/>
    </w:tblStylePr>
    <w:tblStylePr w:type="band1Horz">
      <w:rPr>
        <w:rFonts w:ascii="Arial" w:hAnsi="Arial"/>
        <w:color w:val="404040"/>
        <w:sz w:val="22"/>
      </w:rPr>
      <w:tblPr/>
      <w:tcPr>
        <w:shd w:val="clear" w:color="EAF1DD" w:themeColor="accent3" w:themeTint="34" w:fill="EAF1DD" w:themeFill="accent3"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bl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blPr/>
      <w:tcPr>
        <w:tcBorders>
          <w:top w:val="single" w:color="B2A1C6" w:themeColor="accent4" w:themeTint="9A"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DFEC" w:themeColor="accent4" w:themeTint="34" w:fill="E5DFEC" w:themeFill="accent4" w:themeFillTint="34"/>
      </w:tcPr>
    </w:tblStylePr>
    <w:tblStylePr w:type="band2Vert">
      <w:tblPr/>
    </w:tblStylePr>
    <w:tblStylePr w:type="band1Horz">
      <w:rPr>
        <w:rFonts w:ascii="Arial" w:hAnsi="Arial"/>
        <w:color w:val="404040"/>
        <w:sz w:val="22"/>
      </w:rPr>
      <w:tblPr/>
      <w:tcPr>
        <w:shd w:val="clear" w:color="E5DFEC" w:themeColor="accent4" w:themeTint="34" w:fill="E5DFEC" w:themeFill="accent4"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9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blPr/>
      <w:tcPr>
        <w:tcBorders>
          <w:top w:val="single" w:color="4BACC6" w:themeColor="accent5"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EF3" w:themeColor="accent5" w:themeTint="34" w:fill="DAEEF3" w:themeFill="accent5" w:themeFillTint="34"/>
      </w:tcPr>
    </w:tblStylePr>
    <w:tblStylePr w:type="band2Vert">
      <w:tblPr/>
    </w:tblStylePr>
    <w:tblStylePr w:type="band1Horz">
      <w:rPr>
        <w:rFonts w:ascii="Arial" w:hAnsi="Arial"/>
        <w:color w:val="404040"/>
        <w:sz w:val="22"/>
      </w:rPr>
      <w:tblPr/>
      <w:tcPr>
        <w:shd w:val="clear" w:color="DAEEF3" w:themeColor="accent5" w:themeTint="34" w:fill="DAEEF3" w:themeFill="accent5"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blPr/>
      <w:tcPr>
        <w:tcBorders>
          <w:top w:val="single" w:color="F79646" w:themeColor="accent6" w:sz="4" w:space="0"/>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DE9D9" w:themeColor="accent6" w:themeTint="34" w:fill="FDE9D9" w:themeFill="accent6" w:themeFillTint="34"/>
      </w:tcPr>
    </w:tblStylePr>
    <w:tblStylePr w:type="band2Vert">
      <w:tblPr/>
    </w:tblStylePr>
    <w:tblStylePr w:type="band1Horz">
      <w:rPr>
        <w:rFonts w:ascii="Arial" w:hAnsi="Arial"/>
        <w:color w:val="404040"/>
        <w:sz w:val="22"/>
      </w:rPr>
      <w:tblPr/>
      <w:tcPr>
        <w:shd w:val="clear" w:color="FDE9D9" w:themeColor="accent6" w:themeTint="34" w:fill="FDE9D9" w:themeFill="accent6" w:themeFillTint="34"/>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1">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98989" w:themeColor="text1" w:themeTint="75" w:fill="898989" w:themeFill="text1" w:themeFillTint="75"/>
      </w:tcPr>
    </w:tblStylePr>
    <w:tblStylePr w:type="band2Vert">
      <w:tblPr/>
    </w:tblStylePr>
    <w:tblStylePr w:type="band1Horz">
      <w:tblPr/>
      <w:tcPr>
        <w:shd w:val="clear" w:color="898989" w:themeColor="text1" w:themeTint="75" w:fill="898989" w:themeFill="tex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5E0" w:themeColor="accent1" w:themeTint="75" w:fill="AEC5E0" w:themeFill="accent1" w:themeFillTint="75"/>
      </w:tcPr>
    </w:tblStylePr>
    <w:tblStylePr w:type="band2Vert">
      <w:tblPr/>
    </w:tblStylePr>
    <w:tblStylePr w:type="band1Horz">
      <w:tblPr/>
      <w:tcPr>
        <w:shd w:val="clear" w:color="AEC5E0" w:themeColor="accent1" w:themeTint="75" w:fill="AEC5E0" w:themeFill="accent1"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2Vert">
      <w:tblPr/>
    </w:tblStylePr>
    <w:tblStylePr w:type="band1Horz">
      <w:tblPr/>
      <w:tcPr>
        <w:shd w:val="clear" w:color="E2AEAD" w:themeColor="accent2" w:themeTint="75" w:fill="E2AEAD" w:themeFill="accent2"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1DFB2" w:themeColor="accent3" w:themeTint="75" w:fill="D1DFB2" w:themeFill="accent3" w:themeFillTint="75"/>
      </w:tcPr>
    </w:tblStylePr>
    <w:tblStylePr w:type="band2Vert">
      <w:tblPr/>
    </w:tblStylePr>
    <w:tblStylePr w:type="band1Horz">
      <w:tblPr/>
      <w:tcPr>
        <w:shd w:val="clear" w:color="D1DFB2" w:themeColor="accent3" w:themeTint="75" w:fill="D1DFB2" w:themeFill="accent3"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2Vert">
      <w:tblPr/>
    </w:tblStylePr>
    <w:tblStylePr w:type="band1Horz">
      <w:tblPr/>
      <w:tcPr>
        <w:shd w:val="clear" w:color="C4B7D4" w:themeColor="accent4" w:themeTint="75" w:fill="C4B7D4" w:themeFill="accent4"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2Vert">
      <w:tblPr/>
    </w:tblStylePr>
    <w:tblStylePr w:type="band1Horz">
      <w:tblPr/>
      <w:tcPr>
        <w:shd w:val="clear" w:color="ACD8E4" w:themeColor="accent5" w:themeTint="75" w:fill="ACD8E4" w:themeFill="accent5"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2Vert">
      <w:tblPr/>
    </w:tblStylePr>
    <w:tblStylePr w:type="band1Horz">
      <w:tblPr/>
      <w:tcPr>
        <w:shd w:val="clear" w:color="FBCEAA" w:themeColor="accent6" w:themeTint="75" w:fill="FBCEAA" w:themeFill="accent6" w:themeFillTint="75"/>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08">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bl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Pr/>
    </w:tblStylePr>
    <w:tblStylePr w:type="firstCol">
      <w:rPr>
        <w:b/>
        <w:color w:val="808080" w:themeColor="text1" w:themeTint="80"/>
        <w14:textFill>
          <w14:solidFill>
            <w14:schemeClr w14:val="tx1">
              <w14:lumMod w14:val="50000"/>
              <w14:lumOff w14:val="50000"/>
            </w14:schemeClr>
          </w14:solidFill>
        </w14:textFill>
      </w:rPr>
      <w:tblPr/>
    </w:tblStylePr>
    <w:tblStylePr w:type="lastCol">
      <w:rPr>
        <w:b/>
        <w:color w:val="808080" w:themeColor="text1" w:themeTint="80"/>
        <w14:textFill>
          <w14:solidFill>
            <w14:schemeClr w14:val="tx1">
              <w14:lumMod w14:val="50000"/>
              <w14:lumOff w14:val="50000"/>
            </w14:schemeClr>
          </w14:solidFill>
        </w14:textFill>
      </w:rPr>
      <w:tblPr/>
    </w:tblStylePr>
    <w:tblStylePr w:type="band1Vert">
      <w:tblPr/>
      <w:tcPr>
        <w:shd w:val="clear" w:color="CACACA" w:themeColor="text1" w:themeTint="34" w:fill="CACACA" w:themeFill="text1" w:themeFillTint="34"/>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0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bl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Pr/>
    </w:tblStylePr>
    <w:tblStylePr w:type="firstCol">
      <w:rPr>
        <w:b/>
        <w:color w:val="A7C0DE" w:themeColor="accent1" w:themeTint="80"/>
        <w14:textFill>
          <w14:solidFill>
            <w14:schemeClr w14:val="accent1">
              <w14:lumMod w14:val="50000"/>
              <w14:lumOff w14:val="50000"/>
            </w14:schemeClr>
          </w14:solidFill>
        </w14:textFill>
      </w:rPr>
      <w:tblPr/>
    </w:tblStylePr>
    <w:tblStylePr w:type="lastCol">
      <w:rPr>
        <w:b/>
        <w:color w:val="A7C0DE" w:themeColor="accent1" w:themeTint="80"/>
        <w14:textFill>
          <w14:solidFill>
            <w14:schemeClr w14:val="accent1">
              <w14:lumMod w14:val="50000"/>
              <w14:lumOff w14:val="50000"/>
            </w14:schemeClr>
          </w14:solidFill>
        </w14:textFill>
      </w:rPr>
      <w:tblPr/>
    </w:tblStylePr>
    <w:tblStylePr w:type="band1Vert">
      <w:tblPr/>
      <w:tcPr>
        <w:shd w:val="clear" w:color="DBE5F1" w:themeColor="accent1" w:themeTint="34" w:fill="DBE5F1" w:themeFill="accent1" w:themeFillTint="34"/>
      </w:tcPr>
    </w:tblStylePr>
    <w:tblStylePr w:type="band2Vert">
      <w:tbl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bl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1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bl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Pr/>
    </w:tblStylePr>
    <w:tblStylePr w:type="firstCol">
      <w:rPr>
        <w:b/>
        <w:color w:val="DA9896" w:themeColor="accent2" w:themeTint="96"/>
        <w14:textFill>
          <w14:solidFill>
            <w14:schemeClr w14:val="accent2">
              <w14:lumMod w14:val="59000"/>
              <w14:lumOff w14:val="41000"/>
            </w14:schemeClr>
          </w14:solidFill>
        </w14:textFill>
      </w:rPr>
      <w:tblPr/>
    </w:tblStylePr>
    <w:tblStylePr w:type="lastCol">
      <w:rPr>
        <w:b/>
        <w:color w:val="DA9896" w:themeColor="accent2" w:themeTint="96"/>
        <w14:textFill>
          <w14:solidFill>
            <w14:schemeClr w14:val="accent2">
              <w14:lumMod w14:val="59000"/>
              <w14:lumOff w14:val="41000"/>
            </w14:schemeClr>
          </w14:solidFill>
        </w14:textFill>
      </w:rPr>
      <w:tblPr/>
    </w:tblStylePr>
    <w:tblStylePr w:type="band1Vert">
      <w:tblPr/>
      <w:tcPr>
        <w:shd w:val="clear" w:color="F2DCDC" w:themeColor="accent2" w:themeTint="32" w:fill="F2DCDC" w:themeFill="accent2" w:themeFillTint="32"/>
      </w:tcPr>
    </w:tblStylePr>
    <w:tblStylePr w:type="band2Vert">
      <w:tbl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bl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1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bl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Pr/>
    </w:tblStylePr>
    <w:tblStylePr w:type="firstCol">
      <w:rPr>
        <w:b/>
        <w:color w:val="9BBB59" w:themeColor="accent3"/>
        <w14:textFill>
          <w14:solidFill>
            <w14:schemeClr w14:val="accent3"/>
          </w14:solidFill>
        </w14:textFill>
      </w:rPr>
      <w:tblPr/>
    </w:tblStylePr>
    <w:tblStylePr w:type="lastCol">
      <w:rPr>
        <w:b/>
        <w:color w:val="9BBB59" w:themeColor="accent3"/>
        <w14:textFill>
          <w14:solidFill>
            <w14:schemeClr w14:val="accent3"/>
          </w14:solidFill>
        </w14:textFill>
      </w:rPr>
      <w:tblPr/>
    </w:tblStylePr>
    <w:tblStylePr w:type="band1Vert">
      <w:tblPr/>
      <w:tcPr>
        <w:shd w:val="clear" w:color="EAF1DD" w:themeColor="accent3" w:themeTint="34" w:fill="EAF1DD" w:themeFill="accent3" w:themeFillTint="34"/>
      </w:tcPr>
    </w:tblStylePr>
    <w:tblStylePr w:type="band2Vert">
      <w:tblPr/>
    </w:tblStylePr>
    <w:tblStylePr w:type="band1Horz">
      <w:rPr>
        <w:rFonts w:ascii="Arial" w:hAnsi="Arial"/>
        <w:color w:val="9BBB59" w:themeColor="accent3"/>
        <w:sz w:val="22"/>
        <w14:textFill>
          <w14:solidFill>
            <w14:schemeClr w14:val="accent3"/>
          </w14:solidFill>
        </w14:textFill>
      </w:rPr>
      <w:tbl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Pr/>
    </w:tblStylePr>
    <w:tblStylePr w:type="neCell">
      <w:tblPr/>
    </w:tblStylePr>
    <w:tblStylePr w:type="nwCell">
      <w:tblPr/>
    </w:tblStylePr>
    <w:tblStylePr w:type="seCell">
      <w:tblPr/>
    </w:tblStylePr>
    <w:tblStylePr w:type="swCell">
      <w:tblPr/>
    </w:tblStylePr>
  </w:style>
  <w:style w:type="table" w:customStyle="1" w:styleId="11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bl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Pr/>
    </w:tblStylePr>
    <w:tblStylePr w:type="firstCol">
      <w:rPr>
        <w:b/>
        <w:color w:val="B3A2C7" w:themeColor="accent4" w:themeTint="99"/>
        <w14:textFill>
          <w14:solidFill>
            <w14:schemeClr w14:val="accent4">
              <w14:lumMod w14:val="60000"/>
              <w14:lumOff w14:val="40000"/>
            </w14:schemeClr>
          </w14:solidFill>
        </w14:textFill>
      </w:rPr>
      <w:tblPr/>
    </w:tblStylePr>
    <w:tblStylePr w:type="lastCol">
      <w:rPr>
        <w:b/>
        <w:color w:val="B3A2C7" w:themeColor="accent4" w:themeTint="99"/>
        <w14:textFill>
          <w14:solidFill>
            <w14:schemeClr w14:val="accent4">
              <w14:lumMod w14:val="60000"/>
              <w14:lumOff w14:val="40000"/>
            </w14:schemeClr>
          </w14:solidFill>
        </w14:textFill>
      </w:rPr>
      <w:tblPr/>
    </w:tblStylePr>
    <w:tblStylePr w:type="band1Vert">
      <w:tblPr/>
      <w:tcPr>
        <w:shd w:val="clear" w:color="E5DFEC" w:themeColor="accent4" w:themeTint="34" w:fill="E5DFEC" w:themeFill="accent4" w:themeFillTint="34"/>
      </w:tcPr>
    </w:tblStylePr>
    <w:tblStylePr w:type="band2Vert">
      <w:tbl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bl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1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blPr/>
      <w:tcPr>
        <w:tcBorders>
          <w:bottom w:val="single" w:color="4BACC6" w:themeColor="accent5" w:sz="12" w:space="0"/>
        </w:tcBorders>
      </w:tcPr>
    </w:tblStylePr>
    <w:tblStylePr w:type="lastRow">
      <w:rPr>
        <w:b/>
        <w:color w:val="266778" w:themeColor="accent5" w:themeShade="94"/>
      </w:rPr>
      <w:tblPr/>
    </w:tblStylePr>
    <w:tblStylePr w:type="firstCol">
      <w:rPr>
        <w:b/>
        <w:color w:val="266778" w:themeColor="accent5" w:themeShade="94"/>
      </w:rPr>
      <w:tblPr/>
    </w:tblStylePr>
    <w:tblStylePr w:type="lastCol">
      <w:rPr>
        <w:b/>
        <w:color w:val="266778" w:themeColor="accent5" w:themeShade="94"/>
      </w:rPr>
      <w:tblPr/>
    </w:tblStylePr>
    <w:tblStylePr w:type="band1Vert">
      <w:tblPr/>
      <w:tcPr>
        <w:shd w:val="clear" w:color="DAEEF3" w:themeColor="accent5" w:themeTint="34" w:fill="DAEEF3" w:themeFill="accent5" w:themeFillTint="34"/>
      </w:tcPr>
    </w:tblStylePr>
    <w:tblStylePr w:type="band2Vert">
      <w:tblPr/>
    </w:tblStylePr>
    <w:tblStylePr w:type="band1Horz">
      <w:rPr>
        <w:rFonts w:ascii="Arial" w:hAnsi="Arial"/>
        <w:color w:val="266778" w:themeColor="accent5" w:themeShade="94"/>
        <w:sz w:val="22"/>
      </w:rPr>
      <w:tblPr/>
      <w:tcPr>
        <w:shd w:val="clear" w:color="DAEEF3" w:themeColor="accent5" w:themeTint="34" w:fill="DAEEF3" w:themeFill="accent5" w:themeFillTint="34"/>
      </w:tcPr>
    </w:tblStylePr>
    <w:tblStylePr w:type="band2Horz">
      <w:rPr>
        <w:rFonts w:ascii="Arial" w:hAnsi="Arial"/>
        <w:color w:val="266778"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11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blPr/>
      <w:tcPr>
        <w:tcBorders>
          <w:bottom w:val="single" w:color="F79646" w:themeColor="accent6" w:sz="12" w:space="0"/>
        </w:tcBorders>
      </w:tcPr>
    </w:tblStylePr>
    <w:tblStylePr w:type="lastRow">
      <w:rPr>
        <w:b/>
        <w:color w:val="266778" w:themeColor="accent5" w:themeShade="94"/>
      </w:rPr>
      <w:tblPr/>
    </w:tblStylePr>
    <w:tblStylePr w:type="firstCol">
      <w:rPr>
        <w:b/>
        <w:color w:val="266778" w:themeColor="accent5" w:themeShade="94"/>
      </w:rPr>
      <w:tblPr/>
    </w:tblStylePr>
    <w:tblStylePr w:type="lastCol">
      <w:rPr>
        <w:b/>
        <w:color w:val="266778" w:themeColor="accent5" w:themeShade="94"/>
      </w:rPr>
      <w:tblPr/>
    </w:tblStylePr>
    <w:tblStylePr w:type="band1Vert">
      <w:tblPr/>
      <w:tcPr>
        <w:shd w:val="clear" w:color="FDE9D9" w:themeColor="accent6" w:themeTint="34" w:fill="FDE9D9" w:themeFill="accent6" w:themeFillTint="34"/>
      </w:tcPr>
    </w:tblStylePr>
    <w:tblStylePr w:type="band2Vert">
      <w:tblPr/>
    </w:tblStylePr>
    <w:tblStylePr w:type="band1Horz">
      <w:rPr>
        <w:rFonts w:ascii="Arial" w:hAnsi="Arial"/>
        <w:color w:val="266778" w:themeColor="accent5" w:themeShade="94"/>
        <w:sz w:val="22"/>
      </w:rPr>
      <w:tblPr/>
      <w:tcPr>
        <w:shd w:val="clear" w:color="FDE9D9" w:themeColor="accent6" w:themeTint="34" w:fill="FDE9D9" w:themeFill="accent6" w:themeFillTint="34"/>
      </w:tcPr>
    </w:tblStylePr>
    <w:tblStylePr w:type="band2Horz">
      <w:rPr>
        <w:rFonts w:ascii="Arial" w:hAnsi="Arial"/>
        <w:color w:val="266778"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115">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single" w:color="7E7E7E" w:themeColor="text1" w:themeTint="80" w:sz="4" w:space="0"/>
          <w:bottom w:val="nil"/>
          <w:right w:val="nil"/>
        </w:tcBorders>
        <w:shd w:val="clear" w:color="FFFFFF" w:fill="auto"/>
      </w:tcPr>
    </w:tblStylePr>
    <w:tblStylePr w:type="band1Vert">
      <w:tblPr/>
      <w:tcPr>
        <w:shd w:val="clear" w:color="F1F1F1" w:themeColor="text1" w:themeTint="0D" w:fill="F1F1F1" w:themeFill="text1" w:themeFillTint="0D"/>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1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bl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bl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bl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blPr/>
      <w:tcPr>
        <w:tcBorders>
          <w:top w:val="nil"/>
          <w:left w:val="single" w:color="A6BFDD" w:themeColor="accent1" w:themeTint="80" w:sz="4" w:space="0"/>
          <w:bottom w:val="nil"/>
          <w:right w:val="nil"/>
        </w:tcBorders>
        <w:shd w:val="clear" w:color="FFFFFF" w:fill="auto"/>
      </w:tcPr>
    </w:tblStylePr>
    <w:tblStylePr w:type="band1Vert">
      <w:tblPr/>
      <w:tcPr>
        <w:shd w:val="clear" w:color="DBE5F1" w:themeColor="accent1" w:themeTint="34" w:fill="DBE5F1" w:themeFill="accent1" w:themeFillTint="34"/>
      </w:tcPr>
    </w:tblStylePr>
    <w:tblStylePr w:type="band2Vert">
      <w:tbl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bl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1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bl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bl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bl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blPr/>
      <w:tcPr>
        <w:tcBorders>
          <w:top w:val="nil"/>
          <w:left w:val="single" w:color="D99795" w:themeColor="accent2" w:themeTint="97" w:sz="4" w:space="0"/>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2Vert">
      <w:tbl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bl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1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bl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bl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bl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blPr/>
      <w:tcPr>
        <w:tcBorders>
          <w:top w:val="nil"/>
          <w:left w:val="single" w:color="9BBB59" w:themeColor="accent3" w:themeTint="FE" w:sz="4" w:space="0"/>
          <w:bottom w:val="nil"/>
          <w:right w:val="nil"/>
        </w:tcBorders>
        <w:shd w:val="clear" w:color="FFFFFF" w:fill="auto"/>
      </w:tcPr>
    </w:tblStylePr>
    <w:tblStylePr w:type="band1Vert">
      <w:tblPr/>
      <w:tcPr>
        <w:shd w:val="clear" w:color="EAF1DD" w:themeColor="accent3" w:themeTint="34" w:fill="EAF1DD" w:themeFill="accent3" w:themeFillTint="34"/>
      </w:tcPr>
    </w:tblStylePr>
    <w:tblStylePr w:type="band2Vert">
      <w:tblPr/>
    </w:tblStylePr>
    <w:tblStylePr w:type="band1Horz">
      <w:rPr>
        <w:rFonts w:ascii="Arial" w:hAnsi="Arial"/>
        <w:color w:val="9BBB59" w:themeColor="accent3"/>
        <w:sz w:val="22"/>
        <w14:textFill>
          <w14:solidFill>
            <w14:schemeClr w14:val="accent3"/>
          </w14:solidFill>
        </w14:textFill>
      </w:rPr>
      <w:tbl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Pr/>
    </w:tblStylePr>
    <w:tblStylePr w:type="neCell">
      <w:tblPr/>
    </w:tblStylePr>
    <w:tblStylePr w:type="nwCell">
      <w:tblPr/>
    </w:tblStylePr>
    <w:tblStylePr w:type="seCell">
      <w:tblPr/>
    </w:tblStylePr>
    <w:tblStylePr w:type="swCell">
      <w:tblPr/>
    </w:tblStylePr>
  </w:style>
  <w:style w:type="table" w:customStyle="1" w:styleId="11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bl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bl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bl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blPr/>
      <w:tcPr>
        <w:tcBorders>
          <w:top w:val="nil"/>
          <w:left w:val="single" w:color="B2A1C6" w:themeColor="accent4" w:themeTint="9A" w:sz="4" w:space="0"/>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2Vert">
      <w:tbl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bl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2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bl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bl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bl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blPr/>
      <w:tcPr>
        <w:tcBorders>
          <w:top w:val="nil"/>
          <w:left w:val="single" w:color="99D0DE" w:themeColor="accent5" w:themeTint="90" w:sz="4" w:space="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2Vert">
      <w:tblPr/>
    </w:tblStylePr>
    <w:tblStylePr w:type="band1Horz">
      <w:rPr>
        <w:rFonts w:ascii="Arial" w:hAnsi="Arial"/>
        <w:color w:val="266778" w:themeColor="accent5" w:themeShade="94"/>
        <w:sz w:val="22"/>
      </w:rPr>
      <w:tblPr/>
      <w:tcPr>
        <w:shd w:val="clear" w:color="DAEEF3" w:themeColor="accent5" w:themeTint="34" w:fill="DAEEF3" w:themeFill="accent5" w:themeFillTint="34"/>
      </w:tcPr>
    </w:tblStylePr>
    <w:tblStylePr w:type="band2Horz">
      <w:rPr>
        <w:rFonts w:ascii="Arial" w:hAnsi="Arial"/>
        <w:color w:val="266778" w:themeColor="accent5" w:themeShade="94"/>
        <w:sz w:val="22"/>
      </w:rPr>
      <w:tblPr/>
    </w:tblStylePr>
    <w:tblStylePr w:type="neCell">
      <w:tblPr/>
    </w:tblStylePr>
    <w:tblStylePr w:type="nwCell">
      <w:tblPr/>
    </w:tblStylePr>
    <w:tblStylePr w:type="seCell">
      <w:tblPr/>
    </w:tblStylePr>
    <w:tblStylePr w:type="swCell">
      <w:tblPr/>
    </w:tblStylePr>
  </w:style>
  <w:style w:type="table" w:customStyle="1" w:styleId="12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bl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bl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bl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blPr/>
      <w:tcPr>
        <w:tcBorders>
          <w:top w:val="nil"/>
          <w:left w:val="single" w:color="FAC396" w:themeColor="accent6" w:themeTint="90" w:sz="4" w:space="0"/>
          <w:bottom w:val="nil"/>
          <w:right w:val="nil"/>
        </w:tcBorders>
        <w:shd w:val="clear" w:color="FFFFFF" w:fill="auto"/>
      </w:tcPr>
    </w:tblStylePr>
    <w:tblStylePr w:type="band1Vert">
      <w:tblPr/>
      <w:tcPr>
        <w:shd w:val="clear" w:color="FDE9D9" w:themeColor="accent6" w:themeTint="34" w:fill="FDE9D9" w:themeFill="accent6" w:themeFillTint="34"/>
      </w:tcPr>
    </w:tblStylePr>
    <w:tblStylePr w:type="band2Vert">
      <w:tblPr/>
    </w:tblStylePr>
    <w:tblStylePr w:type="band1Horz">
      <w:rPr>
        <w:rFonts w:ascii="Arial" w:hAnsi="Arial"/>
        <w:color w:val="B05408" w:themeColor="accent6" w:themeShade="94"/>
        <w:sz w:val="22"/>
      </w:rPr>
      <w:tblPr/>
      <w:tcPr>
        <w:shd w:val="clear" w:color="FDE9D9" w:themeColor="accent6" w:themeTint="34" w:fill="FDE9D9" w:themeFill="accent6" w:themeFillTint="34"/>
      </w:tcPr>
    </w:tblStylePr>
    <w:tblStylePr w:type="band2Horz">
      <w:rPr>
        <w:rFonts w:ascii="Arial" w:hAnsi="Arial"/>
        <w:color w:val="B05408" w:themeColor="accent6" w:themeShade="94"/>
        <w:sz w:val="22"/>
      </w:rPr>
      <w:tblPr/>
    </w:tblStylePr>
    <w:tblStylePr w:type="neCell">
      <w:tblPr/>
    </w:tblStylePr>
    <w:tblStylePr w:type="nwCell">
      <w:tblPr/>
    </w:tblStylePr>
    <w:tblStylePr w:type="seCell">
      <w:tblPr/>
    </w:tblStylePr>
    <w:tblStylePr w:type="swCell">
      <w:tblPr/>
    </w:tblStylePr>
  </w:style>
  <w:style w:type="table" w:customStyle="1" w:styleId="122">
    <w:name w:val="List Table 1 Light"/>
    <w:qFormat/>
    <w:uiPriority w:val="99"/>
    <w:tblPr>
      <w:tblCellMar>
        <w:top w:w="0" w:type="dxa"/>
        <w:left w:w="0" w:type="dxa"/>
        <w:bottom w:w="0" w:type="dxa"/>
        <w:right w:w="0" w:type="dxa"/>
      </w:tblCellMar>
    </w:tblPr>
    <w:tblStylePr w:type="firstRow">
      <w:rPr>
        <w:b/>
        <w:color w:val="404040"/>
      </w:rPr>
      <w:tblPr/>
      <w:tcPr>
        <w:tcBorders>
          <w:top w:val="nil"/>
          <w:left w:val="nil"/>
          <w:bottom w:val="single" w:color="000000" w:themeColor="text1" w:sz="4" w:space="0"/>
          <w:right w:val="nil"/>
        </w:tcBorders>
      </w:tcPr>
    </w:tblStylePr>
    <w:tblStylePr w:type="lastRow">
      <w:rPr>
        <w:b/>
        <w:color w:val="404040"/>
      </w:rPr>
      <w:tblPr/>
      <w:tcPr>
        <w:tcBorders>
          <w:top w:val="single" w:color="000000" w:themeColor="tex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BEBEBE" w:themeColor="text1" w:themeTint="40" w:fill="BEBEBE" w:themeFill="text1" w:themeFillTint="40"/>
      </w:tcPr>
    </w:tblStylePr>
    <w:tblStylePr w:type="band2Vert">
      <w:tblPr/>
    </w:tblStylePr>
    <w:tblStylePr w:type="band1Horz">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3">
    <w:name w:val="List Table 1 Light - Accent 1"/>
    <w:qFormat/>
    <w:uiPriority w:val="99"/>
    <w:tblPr>
      <w:tblCellMar>
        <w:top w:w="0" w:type="dxa"/>
        <w:left w:w="0" w:type="dxa"/>
        <w:bottom w:w="0" w:type="dxa"/>
        <w:right w:w="0" w:type="dxa"/>
      </w:tblCellMar>
    </w:tblPr>
    <w:tblStylePr w:type="firstRow">
      <w:rPr>
        <w:b/>
        <w:color w:val="404040"/>
      </w:rPr>
      <w:tblPr/>
      <w:tcPr>
        <w:tcBorders>
          <w:top w:val="nil"/>
          <w:left w:val="nil"/>
          <w:bottom w:val="single" w:color="4F81BD" w:themeColor="accent1" w:sz="4" w:space="0"/>
          <w:right w:val="nil"/>
        </w:tcBorders>
      </w:tcPr>
    </w:tblStylePr>
    <w:tblStylePr w:type="lastRow">
      <w:rPr>
        <w:b/>
        <w:color w:val="404040"/>
      </w:rPr>
      <w:tblPr/>
      <w:tcPr>
        <w:tcBorders>
          <w:top w:val="single" w:color="4F81BD" w:themeColor="accent1"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2DFEE" w:themeColor="accent1" w:themeTint="40" w:fill="D2DFEE" w:themeFill="accent1" w:themeFillTint="40"/>
      </w:tcPr>
    </w:tblStylePr>
    <w:tblStylePr w:type="band2Vert">
      <w:tblPr/>
    </w:tblStylePr>
    <w:tblStylePr w:type="band1Horz">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4">
    <w:name w:val="List Table 1 Light - Accent 2"/>
    <w:qFormat/>
    <w:uiPriority w:val="99"/>
    <w:tblPr>
      <w:tblCellMar>
        <w:top w:w="0" w:type="dxa"/>
        <w:left w:w="0" w:type="dxa"/>
        <w:bottom w:w="0" w:type="dxa"/>
        <w:right w:w="0" w:type="dxa"/>
      </w:tblCellMar>
    </w:tblPr>
    <w:tblStylePr w:type="firstRow">
      <w:rPr>
        <w:b/>
        <w:color w:val="404040"/>
      </w:rPr>
      <w:tblPr/>
      <w:tcPr>
        <w:tcBorders>
          <w:top w:val="nil"/>
          <w:left w:val="nil"/>
          <w:bottom w:val="single" w:color="C0504D" w:themeColor="accent2" w:sz="4" w:space="0"/>
          <w:right w:val="nil"/>
        </w:tcBorders>
      </w:tcPr>
    </w:tblStylePr>
    <w:tblStylePr w:type="lastRow">
      <w:rPr>
        <w:b/>
        <w:color w:val="404040"/>
      </w:rPr>
      <w:tblPr/>
      <w:tcPr>
        <w:tcBorders>
          <w:top w:val="single" w:color="C0504D" w:themeColor="accent2"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EFD3D2" w:themeColor="accent2" w:themeTint="40" w:fill="EFD3D2" w:themeFill="accent2" w:themeFillTint="40"/>
      </w:tcPr>
    </w:tblStylePr>
    <w:tblStylePr w:type="band2Vert">
      <w:tblPr/>
    </w:tblStylePr>
    <w:tblStylePr w:type="band1Horz">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5">
    <w:name w:val="List Table 1 Light - Accent 3"/>
    <w:qFormat/>
    <w:uiPriority w:val="99"/>
    <w:tblPr>
      <w:tblCellMar>
        <w:top w:w="0" w:type="dxa"/>
        <w:left w:w="0" w:type="dxa"/>
        <w:bottom w:w="0" w:type="dxa"/>
        <w:right w:w="0" w:type="dxa"/>
      </w:tblCellMar>
    </w:tblPr>
    <w:tblStylePr w:type="firstRow">
      <w:rPr>
        <w:b/>
        <w:color w:val="404040"/>
      </w:rPr>
      <w:tblPr/>
      <w:tcPr>
        <w:tcBorders>
          <w:top w:val="nil"/>
          <w:left w:val="nil"/>
          <w:bottom w:val="single" w:color="9BBB59" w:themeColor="accent3" w:sz="4" w:space="0"/>
          <w:right w:val="nil"/>
        </w:tcBorders>
      </w:tcPr>
    </w:tblStylePr>
    <w:tblStylePr w:type="lastRow">
      <w:rPr>
        <w:b/>
        <w:color w:val="404040"/>
      </w:rPr>
      <w:tblPr/>
      <w:tcPr>
        <w:tcBorders>
          <w:top w:val="single" w:color="9BBB59" w:themeColor="accent3"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E5EDD5" w:themeColor="accent3" w:themeTint="40" w:fill="E5EDD5" w:themeFill="accent3" w:themeFillTint="40"/>
      </w:tcPr>
    </w:tblStylePr>
    <w:tblStylePr w:type="band2Vert">
      <w:tblPr/>
    </w:tblStylePr>
    <w:tblStylePr w:type="band1Horz">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6">
    <w:name w:val="List Table 1 Light - Accent 4"/>
    <w:qFormat/>
    <w:uiPriority w:val="99"/>
    <w:tblPr>
      <w:tblCellMar>
        <w:top w:w="0" w:type="dxa"/>
        <w:left w:w="0" w:type="dxa"/>
        <w:bottom w:w="0" w:type="dxa"/>
        <w:right w:w="0" w:type="dxa"/>
      </w:tblCellMar>
    </w:tblPr>
    <w:tblStylePr w:type="firstRow">
      <w:rPr>
        <w:b/>
        <w:color w:val="404040"/>
      </w:rPr>
      <w:tblPr/>
      <w:tcPr>
        <w:tcBorders>
          <w:top w:val="nil"/>
          <w:left w:val="nil"/>
          <w:bottom w:val="single" w:color="8064A2" w:themeColor="accent4" w:sz="4" w:space="0"/>
          <w:right w:val="nil"/>
        </w:tcBorders>
      </w:tcPr>
    </w:tblStylePr>
    <w:tblStylePr w:type="lastRow">
      <w:rPr>
        <w:b/>
        <w:color w:val="404040"/>
      </w:rPr>
      <w:tblPr/>
      <w:tcPr>
        <w:tcBorders>
          <w:top w:val="single" w:color="8064A2" w:themeColor="accent4"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FD8E7" w:themeColor="accent4" w:themeTint="40" w:fill="DFD8E7" w:themeFill="accent4" w:themeFillTint="40"/>
      </w:tcPr>
    </w:tblStylePr>
    <w:tblStylePr w:type="band2Vert">
      <w:tblPr/>
    </w:tblStylePr>
    <w:tblStylePr w:type="band1Horz">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7">
    <w:name w:val="List Table 1 Light - Accent 5"/>
    <w:qFormat/>
    <w:uiPriority w:val="99"/>
    <w:tblPr>
      <w:tblCellMar>
        <w:top w:w="0" w:type="dxa"/>
        <w:left w:w="0" w:type="dxa"/>
        <w:bottom w:w="0" w:type="dxa"/>
        <w:right w:w="0" w:type="dxa"/>
      </w:tblCellMar>
    </w:tblPr>
    <w:tblStylePr w:type="firstRow">
      <w:rPr>
        <w:b/>
        <w:color w:val="404040"/>
      </w:rPr>
      <w:tblPr/>
      <w:tcPr>
        <w:tcBorders>
          <w:top w:val="nil"/>
          <w:left w:val="nil"/>
          <w:bottom w:val="single" w:color="4BACC6" w:themeColor="accent5" w:sz="4" w:space="0"/>
          <w:right w:val="nil"/>
        </w:tcBorders>
      </w:tcPr>
    </w:tblStylePr>
    <w:tblStylePr w:type="lastRow">
      <w:rPr>
        <w:b/>
        <w:color w:val="404040"/>
      </w:rPr>
      <w:tblPr/>
      <w:tcPr>
        <w:tcBorders>
          <w:top w:val="single" w:color="4BACC6" w:themeColor="accent5"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D1EAF0" w:themeColor="accent5" w:themeTint="40" w:fill="D1EAF0" w:themeFill="accent5" w:themeFillTint="40"/>
      </w:tcPr>
    </w:tblStylePr>
    <w:tblStylePr w:type="band2Vert">
      <w:tblPr/>
    </w:tblStylePr>
    <w:tblStylePr w:type="band1Horz">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8">
    <w:name w:val="List Table 1 Light - Accent 6"/>
    <w:qFormat/>
    <w:uiPriority w:val="99"/>
    <w:tblPr>
      <w:tblCellMar>
        <w:top w:w="0" w:type="dxa"/>
        <w:left w:w="0" w:type="dxa"/>
        <w:bottom w:w="0" w:type="dxa"/>
        <w:right w:w="0" w:type="dxa"/>
      </w:tblCellMar>
    </w:tblPr>
    <w:tblStylePr w:type="firstRow">
      <w:rPr>
        <w:b/>
        <w:color w:val="404040"/>
      </w:rPr>
      <w:tblPr/>
      <w:tcPr>
        <w:tcBorders>
          <w:top w:val="nil"/>
          <w:left w:val="nil"/>
          <w:bottom w:val="single" w:color="F79646" w:themeColor="accent6" w:sz="4" w:space="0"/>
          <w:right w:val="nil"/>
        </w:tcBorders>
      </w:tcPr>
    </w:tblStylePr>
    <w:tblStylePr w:type="lastRow">
      <w:rPr>
        <w:b/>
        <w:color w:val="404040"/>
      </w:rPr>
      <w:tblPr/>
      <w:tcPr>
        <w:tcBorders>
          <w:top w:val="single" w:color="F79646" w:themeColor="accent6" w:sz="4" w:space="0"/>
          <w:left w:val="nil"/>
          <w:bottom w:val="nil"/>
          <w:right w:val="nil"/>
        </w:tcBorders>
      </w:tcPr>
    </w:tblStylePr>
    <w:tblStylePr w:type="firstCol">
      <w:rPr>
        <w:b/>
        <w:color w:val="404040"/>
      </w:rPr>
      <w:tblPr/>
    </w:tblStylePr>
    <w:tblStylePr w:type="lastCol">
      <w:rPr>
        <w:b/>
        <w:color w:val="404040"/>
      </w:rPr>
      <w:tblPr/>
    </w:tblStylePr>
    <w:tblStylePr w:type="band1Vert">
      <w:tblPr/>
      <w:tcPr>
        <w:shd w:val="clear" w:color="FCE4D0" w:themeColor="accent6" w:themeTint="40" w:fill="FCE4D0" w:themeFill="accent6" w:themeFillTint="40"/>
      </w:tcPr>
    </w:tblStylePr>
    <w:tblStylePr w:type="band2Vert">
      <w:tblPr/>
    </w:tblStylePr>
    <w:tblStylePr w:type="band1Horz">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29">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bl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bl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bl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2DFEE" w:themeColor="accent1" w:themeTint="40" w:fill="D2DFEE" w:themeFill="accent1" w:themeFillTint="40"/>
      </w:tcPr>
    </w:tblStylePr>
    <w:tblStylePr w:type="band2Vert">
      <w:tblPr/>
    </w:tblStylePr>
    <w:tblStylePr w:type="band1Horz">
      <w:rPr>
        <w:rFonts w:ascii="Arial" w:hAnsi="Arial"/>
        <w:color w:val="404040"/>
        <w:sz w:val="22"/>
      </w:rPr>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bl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bl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FD3D2" w:themeColor="accent2" w:themeTint="40" w:fill="EFD3D2" w:themeFill="accent2" w:themeFillTint="40"/>
      </w:tcPr>
    </w:tblStylePr>
    <w:tblStylePr w:type="band2Vert">
      <w:tblPr/>
    </w:tblStylePr>
    <w:tblStylePr w:type="band1Horz">
      <w:rPr>
        <w:rFonts w:ascii="Arial" w:hAnsi="Arial"/>
        <w:color w:val="404040"/>
        <w:sz w:val="22"/>
      </w:rPr>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bl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bl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5EDD5" w:themeColor="accent3" w:themeTint="40" w:fill="E5EDD5" w:themeFill="accent3" w:themeFillTint="40"/>
      </w:tcPr>
    </w:tblStylePr>
    <w:tblStylePr w:type="band2Vert">
      <w:tblPr/>
    </w:tblStylePr>
    <w:tblStylePr w:type="band1Horz">
      <w:rPr>
        <w:rFonts w:ascii="Arial" w:hAnsi="Arial"/>
        <w:color w:val="404040"/>
        <w:sz w:val="22"/>
      </w:rPr>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bl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bl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FD8E7" w:themeColor="accent4" w:themeTint="40" w:fill="DFD8E7" w:themeFill="accent4" w:themeFillTint="40"/>
      </w:tcPr>
    </w:tblStylePr>
    <w:tblStylePr w:type="band2Vert">
      <w:tblPr/>
    </w:tblStylePr>
    <w:tblStylePr w:type="band1Horz">
      <w:rPr>
        <w:rFonts w:ascii="Arial" w:hAnsi="Arial"/>
        <w:color w:val="404040"/>
        <w:sz w:val="22"/>
      </w:rPr>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bl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bl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1EAF0" w:themeColor="accent5" w:themeTint="40" w:fill="D1EAF0" w:themeFill="accent5" w:themeFillTint="40"/>
      </w:tcPr>
    </w:tblStylePr>
    <w:tblStylePr w:type="band2Vert">
      <w:tblPr/>
    </w:tblStylePr>
    <w:tblStylePr w:type="band1Horz">
      <w:rPr>
        <w:rFonts w:ascii="Arial" w:hAnsi="Arial"/>
        <w:color w:val="404040"/>
        <w:sz w:val="22"/>
      </w:rPr>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bl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bl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FCE4D0" w:themeColor="accent6" w:themeTint="40" w:fill="FCE4D0" w:themeFill="accent6" w:themeFillTint="40"/>
      </w:tcPr>
    </w:tblStylePr>
    <w:tblStylePr w:type="band2Vert">
      <w:tblPr/>
    </w:tblStylePr>
    <w:tblStylePr w:type="band1Horz">
      <w:rPr>
        <w:rFonts w:ascii="Arial" w:hAnsi="Arial"/>
        <w:color w:val="404040"/>
        <w:sz w:val="22"/>
      </w:rPr>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6">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2Vert">
      <w:tbl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4F81BD" w:themeColor="accent1" w:sz="4" w:space="0"/>
          <w:right w:val="single" w:color="4F81BD" w:themeColor="accent1" w:sz="4" w:space="0"/>
        </w:tcBorders>
      </w:tcPr>
    </w:tblStylePr>
    <w:tblStylePr w:type="band2Vert">
      <w:tblPr/>
    </w:tblStylePr>
    <w:tblStylePr w:type="band1Horz">
      <w:rPr>
        <w:rFonts w:ascii="Arial" w:hAnsi="Arial"/>
        <w:color w:val="404040"/>
        <w:sz w:val="22"/>
      </w:rPr>
      <w:tblPr/>
      <w:tcPr>
        <w:tcBorders>
          <w:top w:val="single" w:color="4F81BD" w:themeColor="accent1" w:sz="4" w:space="0"/>
          <w:bottom w:val="single" w:color="4F81BD" w:themeColor="accent1"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blPr/>
      <w:tcPr>
        <w:shd w:val="clear" w:color="D99795" w:themeColor="accent2" w:themeTint="97" w:fill="D99795" w:themeFill="accent2" w:themeFillTint="97"/>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D99795" w:themeColor="accent2" w:themeTint="97" w:sz="4" w:space="0"/>
          <w:right w:val="single" w:color="D99795" w:themeColor="accent2" w:themeTint="97" w:sz="4" w:space="0"/>
        </w:tcBorders>
      </w:tcPr>
    </w:tblStylePr>
    <w:tblStylePr w:type="band2Vert">
      <w:tblPr/>
    </w:tblStylePr>
    <w:tblStylePr w:type="band1Horz">
      <w:rPr>
        <w:rFonts w:ascii="Arial" w:hAnsi="Arial"/>
        <w:color w:val="404040"/>
        <w:sz w:val="22"/>
      </w:rPr>
      <w:tblPr/>
      <w:tcPr>
        <w:tcBorders>
          <w:top w:val="single" w:color="D99795" w:themeColor="accent2" w:themeTint="97" w:sz="4" w:space="0"/>
          <w:bottom w:val="single" w:color="D99795" w:themeColor="accent2" w:themeTint="9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3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blPr/>
      <w:tcPr>
        <w:shd w:val="clear" w:color="C3D69C" w:themeColor="accent3" w:themeTint="98" w:fill="C3D69C" w:themeFill="accent3"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C3D69C" w:themeColor="accent3" w:themeTint="98" w:sz="4" w:space="0"/>
          <w:right w:val="single" w:color="C3D69C" w:themeColor="accent3" w:themeTint="98" w:sz="4" w:space="0"/>
        </w:tcBorders>
      </w:tcPr>
    </w:tblStylePr>
    <w:tblStylePr w:type="band2Vert">
      <w:tblPr/>
    </w:tblStylePr>
    <w:tblStylePr w:type="band1Horz">
      <w:rPr>
        <w:rFonts w:ascii="Arial" w:hAnsi="Arial"/>
        <w:color w:val="404040"/>
        <w:sz w:val="22"/>
      </w:rPr>
      <w:tblPr/>
      <w:tcPr>
        <w:tcBorders>
          <w:top w:val="single" w:color="C3D69C" w:themeColor="accent3" w:themeTint="98" w:sz="4" w:space="0"/>
          <w:bottom w:val="single" w:color="C3D69C" w:themeColor="accent3"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B2A1C6" w:themeColor="accent4" w:themeTint="9A" w:sz="4" w:space="0"/>
          <w:right w:val="single" w:color="B2A1C6" w:themeColor="accent4" w:themeTint="9A" w:sz="4" w:space="0"/>
        </w:tcBorders>
      </w:tcPr>
    </w:tblStylePr>
    <w:tblStylePr w:type="band2Vert">
      <w:tblPr/>
    </w:tblStylePr>
    <w:tblStylePr w:type="band1Horz">
      <w:rPr>
        <w:rFonts w:ascii="Arial" w:hAnsi="Arial"/>
        <w:color w:val="404040"/>
        <w:sz w:val="22"/>
      </w:rPr>
      <w:tblPr/>
      <w:tcPr>
        <w:tcBorders>
          <w:top w:val="single" w:color="B2A1C6" w:themeColor="accent4" w:themeTint="9A" w:sz="4" w:space="0"/>
          <w:bottom w:val="single" w:color="B2A1C6" w:themeColor="accent4"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92CCDC" w:themeColor="accent5" w:themeTint="9A" w:sz="4" w:space="0"/>
          <w:right w:val="single" w:color="92CCDC" w:themeColor="accent5" w:themeTint="9A" w:sz="4" w:space="0"/>
        </w:tcBorders>
      </w:tcPr>
    </w:tblStylePr>
    <w:tblStylePr w:type="band2Vert">
      <w:tblPr/>
    </w:tblStylePr>
    <w:tblStylePr w:type="band1Horz">
      <w:rPr>
        <w:rFonts w:ascii="Arial" w:hAnsi="Arial"/>
        <w:color w:val="404040"/>
        <w:sz w:val="22"/>
      </w:rPr>
      <w:tblPr/>
      <w:tcPr>
        <w:tcBorders>
          <w:top w:val="single" w:color="92CCDC" w:themeColor="accent5" w:themeTint="9A" w:sz="4" w:space="0"/>
          <w:bottom w:val="single" w:color="92CCDC" w:themeColor="accent5" w:themeTint="9A"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left w:val="single" w:color="FAC090" w:themeColor="accent6" w:themeTint="98" w:sz="4" w:space="0"/>
          <w:right w:val="single" w:color="FAC090" w:themeColor="accent6" w:themeTint="98" w:sz="4" w:space="0"/>
        </w:tcBorders>
      </w:tcPr>
    </w:tblStylePr>
    <w:tblStylePr w:type="band2Vert">
      <w:tblPr/>
    </w:tblStylePr>
    <w:tblStylePr w:type="band1Horz">
      <w:rPr>
        <w:rFonts w:ascii="Arial" w:hAnsi="Arial"/>
        <w:color w:val="404040"/>
        <w:sz w:val="22"/>
      </w:rPr>
      <w:tblPr/>
      <w:tcPr>
        <w:tcBorders>
          <w:top w:val="single" w:color="FAC090" w:themeColor="accent6" w:themeTint="98" w:sz="4" w:space="0"/>
          <w:bottom w:val="single" w:color="FAC090" w:themeColor="accent6" w:themeTint="98"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3">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BEBEBE" w:themeColor="text1" w:themeTint="40" w:fill="BEBEBE" w:themeFill="text1" w:themeFillTint="40"/>
      </w:tcPr>
    </w:tblStylePr>
    <w:tblStylePr w:type="band2Vert">
      <w:tblPr/>
    </w:tblStylePr>
    <w:tblStylePr w:type="band1Horz">
      <w:rPr>
        <w:rFonts w:ascii="Arial" w:hAnsi="Arial"/>
        <w:color w:val="404040"/>
        <w:sz w:val="22"/>
      </w:rPr>
      <w:tblPr/>
      <w:tcPr>
        <w:shd w:val="clear" w:color="BEBEBE" w:themeColor="text1" w:themeTint="40" w:fill="BEBEBE" w:themeFill="tex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2DFEE" w:themeColor="accent1" w:themeTint="40" w:fill="D2DFEE" w:themeFill="accent1" w:themeFillTint="40"/>
      </w:tcPr>
    </w:tblStylePr>
    <w:tblStylePr w:type="band2Vert">
      <w:tblPr/>
    </w:tblStylePr>
    <w:tblStylePr w:type="band1Horz">
      <w:rPr>
        <w:rFonts w:ascii="Arial" w:hAnsi="Arial"/>
        <w:color w:val="404040"/>
        <w:sz w:val="22"/>
      </w:rPr>
      <w:tblPr/>
      <w:tcPr>
        <w:shd w:val="clear" w:color="D2DFEE" w:themeColor="accent1" w:themeTint="40" w:fill="D2DFEE" w:themeFill="accent1"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FD3D2" w:themeColor="accent2" w:themeTint="40" w:fill="EFD3D2" w:themeFill="accent2" w:themeFillTint="40"/>
      </w:tcPr>
    </w:tblStylePr>
    <w:tblStylePr w:type="band2Vert">
      <w:tblPr/>
    </w:tblStylePr>
    <w:tblStylePr w:type="band1Horz">
      <w:rPr>
        <w:rFonts w:ascii="Arial" w:hAnsi="Arial"/>
        <w:color w:val="404040"/>
        <w:sz w:val="22"/>
      </w:rPr>
      <w:tblPr/>
      <w:tcPr>
        <w:shd w:val="clear" w:color="EFD3D2" w:themeColor="accent2" w:themeTint="40" w:fill="EFD3D2" w:themeFill="accent2"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EDD5" w:themeColor="accent3" w:themeTint="40" w:fill="E5EDD5" w:themeFill="accent3" w:themeFillTint="40"/>
      </w:tcPr>
    </w:tblStylePr>
    <w:tblStylePr w:type="band2Vert">
      <w:tblPr/>
    </w:tblStylePr>
    <w:tblStylePr w:type="band1Horz">
      <w:rPr>
        <w:rFonts w:ascii="Arial" w:hAnsi="Arial"/>
        <w:color w:val="404040"/>
        <w:sz w:val="22"/>
      </w:rPr>
      <w:tblPr/>
      <w:tcPr>
        <w:shd w:val="clear" w:color="E5EDD5" w:themeColor="accent3" w:themeTint="40" w:fill="E5EDD5" w:themeFill="accent3"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FD8E7" w:themeColor="accent4" w:themeTint="40" w:fill="DFD8E7" w:themeFill="accent4" w:themeFillTint="40"/>
      </w:tcPr>
    </w:tblStylePr>
    <w:tblStylePr w:type="band2Vert">
      <w:tblPr/>
    </w:tblStylePr>
    <w:tblStylePr w:type="band1Horz">
      <w:rPr>
        <w:rFonts w:ascii="Arial" w:hAnsi="Arial"/>
        <w:color w:val="404040"/>
        <w:sz w:val="22"/>
      </w:rPr>
      <w:tblPr/>
      <w:tcPr>
        <w:shd w:val="clear" w:color="DFD8E7" w:themeColor="accent4" w:themeTint="40" w:fill="DFD8E7" w:themeFill="accent4"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1EAF0" w:themeColor="accent5" w:themeTint="40" w:fill="D1EAF0" w:themeFill="accent5" w:themeFillTint="40"/>
      </w:tcPr>
    </w:tblStylePr>
    <w:tblStylePr w:type="band2Vert">
      <w:tblPr/>
    </w:tblStylePr>
    <w:tblStylePr w:type="band1Horz">
      <w:rPr>
        <w:rFonts w:ascii="Arial" w:hAnsi="Arial"/>
        <w:color w:val="404040"/>
        <w:sz w:val="22"/>
      </w:rPr>
      <w:tblPr/>
      <w:tcPr>
        <w:shd w:val="clear" w:color="D1EAF0" w:themeColor="accent5" w:themeTint="40" w:fill="D1EAF0" w:themeFill="accent5"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4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CE4D0" w:themeColor="accent6" w:themeTint="40" w:fill="FCE4D0" w:themeFill="accent6" w:themeFillTint="40"/>
      </w:tcPr>
    </w:tblStylePr>
    <w:tblStylePr w:type="band2Vert">
      <w:tblPr/>
    </w:tblStylePr>
    <w:tblStylePr w:type="band1Horz">
      <w:rPr>
        <w:rFonts w:ascii="Arial" w:hAnsi="Arial"/>
        <w:color w:val="404040"/>
        <w:sz w:val="22"/>
      </w:rPr>
      <w:tblPr/>
      <w:tcPr>
        <w:shd w:val="clear" w:color="FCE4D0" w:themeColor="accent6" w:themeTint="40" w:fill="FCE4D0" w:themeFill="accent6" w:themeFillTint="40"/>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50">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bl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7E7E7E" w:themeColor="text1" w:themeTint="80" w:sz="32" w:space="0"/>
          <w:right w:val="single" w:color="FFFFFF" w:themeColor="light1" w:sz="4" w:space="0"/>
        </w:tcBorders>
      </w:tcPr>
    </w:tblStylePr>
    <w:tblStylePr w:type="lastCol">
      <w:tblPr/>
      <w:tcPr>
        <w:tcBorders>
          <w:left w:val="single" w:color="FFFFFF" w:themeColor="light1" w:sz="4" w:space="0"/>
          <w:right w:val="single" w:color="7E7E7E"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blPr/>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Pr/>
    </w:tblStylePr>
    <w:tblStylePr w:type="nwCell">
      <w:tblPr/>
    </w:tblStylePr>
    <w:tblStylePr w:type="seCell">
      <w:tblPr/>
    </w:tblStylePr>
    <w:tblStylePr w:type="swCell">
      <w:tblPr/>
    </w:tblStylePr>
  </w:style>
  <w:style w:type="table" w:customStyle="1" w:styleId="15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bl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themeColor="accent1"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themeColor="accent1" w:fill="4F81BD" w:themeFill="accent1"/>
      </w:tcPr>
    </w:tblStylePr>
    <w:tblStylePr w:type="band2Horz">
      <w:tblPr/>
      <w:tcPr>
        <w:tcBorders>
          <w:top w:val="single" w:color="FFFFFF" w:themeColor="light1" w:sz="4" w:space="0"/>
          <w:bottom w:val="single" w:color="FFFFFF" w:themeColor="light1" w:sz="4" w:space="0"/>
        </w:tcBorders>
        <w:shd w:val="clear" w:color="4F81BD" w:themeColor="accent1" w:fill="4F81BD" w:themeFill="accent1"/>
      </w:tcPr>
    </w:tblStylePr>
    <w:tblStylePr w:type="neCell">
      <w:tblPr/>
    </w:tblStylePr>
    <w:tblStylePr w:type="nwCell">
      <w:tblPr/>
    </w:tblStylePr>
    <w:tblStylePr w:type="seCell">
      <w:tblPr/>
    </w:tblStylePr>
    <w:tblStylePr w:type="swCell">
      <w:tblPr/>
    </w:tblStylePr>
  </w:style>
  <w:style w:type="table" w:customStyle="1" w:styleId="15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bl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D99795" w:themeColor="accent2" w:themeTint="97" w:sz="32" w:space="0"/>
          <w:right w:val="single" w:color="FFFFFF" w:themeColor="light1" w:sz="4" w:space="0"/>
        </w:tcBorders>
      </w:tcPr>
    </w:tblStylePr>
    <w:tblStylePr w:type="lastCol">
      <w:tblPr/>
      <w:tcPr>
        <w:tcBorders>
          <w:left w:val="single" w:color="FFFFFF" w:themeColor="light1" w:sz="4" w:space="0"/>
          <w:right w:val="single" w:color="D9979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blPr/>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Pr/>
    </w:tblStylePr>
    <w:tblStylePr w:type="nwCell">
      <w:tblPr/>
    </w:tblStylePr>
    <w:tblStylePr w:type="seCell">
      <w:tblPr/>
    </w:tblStylePr>
    <w:tblStylePr w:type="swCell">
      <w:tblPr/>
    </w:tblStylePr>
  </w:style>
  <w:style w:type="table" w:customStyle="1" w:styleId="15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bl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C3D69C" w:themeColor="accent3" w:themeTint="98" w:sz="32" w:space="0"/>
          <w:right w:val="single" w:color="FFFFFF" w:themeColor="light1" w:sz="4" w:space="0"/>
        </w:tcBorders>
      </w:tcPr>
    </w:tblStylePr>
    <w:tblStylePr w:type="lastCol">
      <w:tblPr/>
      <w:tcPr>
        <w:tcBorders>
          <w:left w:val="single" w:color="FFFFFF" w:themeColor="light1" w:sz="4" w:space="0"/>
          <w:right w:val="single" w:color="C3D69C"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blPr/>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Pr/>
    </w:tblStylePr>
    <w:tblStylePr w:type="nwCell">
      <w:tblPr/>
    </w:tblStylePr>
    <w:tblStylePr w:type="seCell">
      <w:tblPr/>
    </w:tblStylePr>
    <w:tblStylePr w:type="swCell">
      <w:tblPr/>
    </w:tblStylePr>
  </w:style>
  <w:style w:type="table" w:customStyle="1" w:styleId="15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bl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B2A1C6" w:themeColor="accent4" w:themeTint="9A" w:sz="32" w:space="0"/>
          <w:right w:val="single" w:color="FFFFFF" w:themeColor="light1" w:sz="4" w:space="0"/>
        </w:tcBorders>
      </w:tcPr>
    </w:tblStylePr>
    <w:tblStylePr w:type="lastCol">
      <w:tblPr/>
      <w:tcPr>
        <w:tcBorders>
          <w:left w:val="single" w:color="FFFFFF" w:themeColor="light1" w:sz="4" w:space="0"/>
          <w:right w:val="single" w:color="B2A1C6"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Pr/>
    </w:tblStylePr>
    <w:tblStylePr w:type="nwCell">
      <w:tblPr/>
    </w:tblStylePr>
    <w:tblStylePr w:type="seCell">
      <w:tblPr/>
    </w:tblStylePr>
    <w:tblStylePr w:type="swCell">
      <w:tblPr/>
    </w:tblStylePr>
  </w:style>
  <w:style w:type="table" w:customStyle="1" w:styleId="15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bl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92CCDC" w:themeColor="accent5" w:themeTint="9A" w:sz="32" w:space="0"/>
          <w:right w:val="single" w:color="FFFFFF" w:themeColor="light1" w:sz="4" w:space="0"/>
        </w:tcBorders>
      </w:tcPr>
    </w:tblStylePr>
    <w:tblStylePr w:type="lastCol">
      <w:tblPr/>
      <w:tcPr>
        <w:tcBorders>
          <w:left w:val="single" w:color="FFFFFF" w:themeColor="light1" w:sz="4" w:space="0"/>
          <w:right w:val="single" w:color="92CCDC"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Pr/>
    </w:tblStylePr>
    <w:tblStylePr w:type="nwCell">
      <w:tblPr/>
    </w:tblStylePr>
    <w:tblStylePr w:type="seCell">
      <w:tblPr/>
    </w:tblStylePr>
    <w:tblStylePr w:type="swCell">
      <w:tblPr/>
    </w:tblStylePr>
  </w:style>
  <w:style w:type="table" w:customStyle="1" w:styleId="15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bl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Pr/>
    </w:tblStylePr>
    <w:tblStylePr w:type="firstCol">
      <w:rPr>
        <w:rFonts w:ascii="Arial" w:hAnsi="Arial"/>
        <w:b/>
        <w:color w:val="FFFFFF" w:themeColor="light1"/>
        <w:sz w:val="22"/>
        <w14:textFill>
          <w14:solidFill>
            <w14:schemeClr w14:val="lt1"/>
          </w14:solidFill>
        </w14:textFill>
      </w:rPr>
      <w:tblPr/>
      <w:tcPr>
        <w:tcBorders>
          <w:left w:val="single" w:color="FAC090" w:themeColor="accent6" w:themeTint="98" w:sz="32" w:space="0"/>
          <w:right w:val="single" w:color="FFFFFF" w:themeColor="light1" w:sz="4" w:space="0"/>
        </w:tcBorders>
      </w:tcPr>
    </w:tblStylePr>
    <w:tblStylePr w:type="lastCol">
      <w:tblPr/>
      <w:tcPr>
        <w:tcBorders>
          <w:left w:val="single" w:color="FFFFFF" w:themeColor="light1" w:sz="4" w:space="0"/>
          <w:right w:val="single" w:color="FAC090"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Pr/>
    </w:tblStylePr>
    <w:tblStylePr w:type="nwCell">
      <w:tblPr/>
    </w:tblStylePr>
    <w:tblStylePr w:type="seCell">
      <w:tblPr/>
    </w:tblStylePr>
    <w:tblStylePr w:type="swCell">
      <w:tblPr/>
    </w:tblStylePr>
  </w:style>
  <w:style w:type="table" w:customStyle="1" w:styleId="157">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blPr/>
      <w:tcPr>
        <w:tcBorders>
          <w:bottom w:val="single" w:color="7E7E7E" w:themeColor="text1" w:themeTint="80" w:sz="4" w:space="0"/>
        </w:tcBorders>
      </w:tcPr>
    </w:tblStylePr>
    <w:tblStylePr w:type="lastRow">
      <w:rPr>
        <w:b/>
        <w:color w:val="000000" w:themeColor="text1"/>
        <w14:textFill>
          <w14:solidFill>
            <w14:schemeClr w14:val="tx1"/>
          </w14:solidFill>
        </w14:textFill>
      </w:rPr>
      <w:tblPr/>
      <w:tcPr>
        <w:tcBorders>
          <w:top w:val="single" w:color="7E7E7E" w:themeColor="text1" w:themeTint="80" w:sz="4" w:space="0"/>
        </w:tcBorders>
      </w:tcPr>
    </w:tblStylePr>
    <w:tblStylePr w:type="firstCol">
      <w:rPr>
        <w:b/>
        <w:color w:val="000000" w:themeColor="text1"/>
        <w14:textFill>
          <w14:solidFill>
            <w14:schemeClr w14:val="tx1"/>
          </w14:solidFill>
        </w14:textFill>
      </w:rPr>
      <w:tblPr/>
    </w:tblStylePr>
    <w:tblStylePr w:type="lastCol">
      <w:rPr>
        <w:b/>
        <w:color w:val="000000" w:themeColor="text1"/>
        <w14:textFill>
          <w14:solidFill>
            <w14:schemeClr w14:val="tx1"/>
          </w14:solidFill>
        </w14:textFill>
      </w:rPr>
      <w:tbl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000000" w:themeColor="text1"/>
        <w:sz w:val="22"/>
        <w14:textFill>
          <w14:solidFill>
            <w14:schemeClr w14:val="tx1"/>
          </w14:solidFill>
        </w14:textFill>
      </w:rPr>
      <w:tbl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Pr/>
    </w:tblStylePr>
    <w:tblStylePr w:type="neCell">
      <w:tblPr/>
    </w:tblStylePr>
    <w:tblStylePr w:type="nwCell">
      <w:tblPr/>
    </w:tblStylePr>
    <w:tblStylePr w:type="seCell">
      <w:tblPr/>
    </w:tblStylePr>
    <w:tblStylePr w:type="swCell">
      <w:tblPr/>
    </w:tblStylePr>
  </w:style>
  <w:style w:type="table" w:customStyle="1" w:styleId="15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blPr/>
      <w:tcPr>
        <w:tcBorders>
          <w:bottom w:val="single" w:color="4F81BD" w:themeColor="accent1" w:sz="4" w:space="0"/>
        </w:tcBorders>
      </w:tcPr>
    </w:tblStylePr>
    <w:tblStylePr w:type="lastRow">
      <w:rPr>
        <w:b/>
        <w:color w:val="2A4B71" w:themeColor="accent1" w:themeShade="94"/>
      </w:rPr>
      <w:tblPr/>
      <w:tcPr>
        <w:tcBorders>
          <w:top w:val="single" w:color="4F81BD" w:themeColor="accent1" w:sz="4" w:space="0"/>
        </w:tcBorders>
      </w:tcPr>
    </w:tblStylePr>
    <w:tblStylePr w:type="firstCol">
      <w:rPr>
        <w:b/>
        <w:color w:val="2A4B71" w:themeColor="accent1" w:themeShade="94"/>
      </w:rPr>
      <w:tblPr/>
    </w:tblStylePr>
    <w:tblStylePr w:type="lastCol">
      <w:rPr>
        <w:b/>
        <w:color w:val="2A4B71" w:themeColor="accent1" w:themeShade="94"/>
      </w:rPr>
      <w:tblPr/>
    </w:tblStylePr>
    <w:tblStylePr w:type="band1Vert">
      <w:tblPr/>
      <w:tcPr>
        <w:shd w:val="clear" w:color="D2DFEE" w:themeColor="accent1" w:themeTint="40" w:fill="D2DFEE" w:themeFill="accent1" w:themeFillTint="40"/>
      </w:tcPr>
    </w:tblStylePr>
    <w:tblStylePr w:type="band2Vert">
      <w:tblPr/>
    </w:tblStylePr>
    <w:tblStylePr w:type="band1Horz">
      <w:rPr>
        <w:rFonts w:ascii="Arial" w:hAnsi="Arial"/>
        <w:color w:val="2A4B71" w:themeColor="accent1" w:themeShade="94"/>
        <w:sz w:val="22"/>
      </w:rPr>
      <w:tblPr/>
      <w:tcPr>
        <w:shd w:val="clear" w:color="D2DFEE" w:themeColor="accent1" w:themeTint="40" w:fill="D2DFEE" w:themeFill="accent1" w:themeFillTint="40"/>
      </w:tcPr>
    </w:tblStylePr>
    <w:tblStylePr w:type="band2Horz">
      <w:rPr>
        <w:rFonts w:ascii="Arial" w:hAnsi="Arial"/>
        <w:color w:val="2A4B71" w:themeColor="accent1" w:themeShade="94"/>
        <w:sz w:val="22"/>
      </w:rPr>
      <w:tblPr/>
    </w:tblStylePr>
    <w:tblStylePr w:type="neCell">
      <w:tblPr/>
    </w:tblStylePr>
    <w:tblStylePr w:type="nwCell">
      <w:tblPr/>
    </w:tblStylePr>
    <w:tblStylePr w:type="seCell">
      <w:tblPr/>
    </w:tblStylePr>
    <w:tblStylePr w:type="swCell">
      <w:tblPr/>
    </w:tblStylePr>
  </w:style>
  <w:style w:type="table" w:customStyle="1" w:styleId="15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bl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bl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Pr/>
    </w:tblStylePr>
    <w:tblStylePr w:type="lastCol">
      <w:rPr>
        <w:b/>
        <w:color w:val="DA9896" w:themeColor="accent2" w:themeTint="96"/>
        <w14:textFill>
          <w14:solidFill>
            <w14:schemeClr w14:val="accent2">
              <w14:lumMod w14:val="59000"/>
              <w14:lumOff w14:val="41000"/>
            </w14:schemeClr>
          </w14:solidFill>
        </w14:textFill>
      </w:rPr>
      <w:tblPr/>
    </w:tblStylePr>
    <w:tblStylePr w:type="band1Vert">
      <w:tblPr/>
      <w:tcPr>
        <w:shd w:val="clear" w:color="EFD3D2" w:themeColor="accent2" w:themeTint="40" w:fill="EFD3D2" w:themeFill="accent2" w:themeFillTint="40"/>
      </w:tcPr>
    </w:tblStylePr>
    <w:tblStylePr w:type="band2Vert">
      <w:tbl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bl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6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bl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bl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Pr/>
    </w:tblStylePr>
    <w:tblStylePr w:type="lastCol">
      <w:rPr>
        <w:b/>
        <w:color w:val="C3D69B" w:themeColor="accent3" w:themeTint="99"/>
        <w14:textFill>
          <w14:solidFill>
            <w14:schemeClr w14:val="accent3">
              <w14:lumMod w14:val="60000"/>
              <w14:lumOff w14:val="40000"/>
            </w14:schemeClr>
          </w14:solidFill>
        </w14:textFill>
      </w:rPr>
      <w:tblPr/>
    </w:tblStylePr>
    <w:tblStylePr w:type="band1Vert">
      <w:tblPr/>
      <w:tcPr>
        <w:shd w:val="clear" w:color="E5EDD5" w:themeColor="accent3" w:themeTint="40" w:fill="E5EDD5" w:themeFill="accent3" w:themeFillTint="40"/>
      </w:tcPr>
    </w:tblStylePr>
    <w:tblStylePr w:type="band2Vert">
      <w:tbl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bl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6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bl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bl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Pr/>
    </w:tblStylePr>
    <w:tblStylePr w:type="lastCol">
      <w:rPr>
        <w:b/>
        <w:color w:val="B3A2C7" w:themeColor="accent4" w:themeTint="99"/>
        <w14:textFill>
          <w14:solidFill>
            <w14:schemeClr w14:val="accent4">
              <w14:lumMod w14:val="60000"/>
              <w14:lumOff w14:val="40000"/>
            </w14:schemeClr>
          </w14:solidFill>
        </w14:textFill>
      </w:rPr>
      <w:tblPr/>
    </w:tblStylePr>
    <w:tblStylePr w:type="band1Vert">
      <w:tblPr/>
      <w:tcPr>
        <w:shd w:val="clear" w:color="DFD8E7" w:themeColor="accent4" w:themeTint="40" w:fill="DFD8E7" w:themeFill="accent4" w:themeFillTint="40"/>
      </w:tcPr>
    </w:tblStylePr>
    <w:tblStylePr w:type="band2Vert">
      <w:tbl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bl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6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bl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bl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Pr/>
    </w:tblStylePr>
    <w:tblStylePr w:type="lastCol">
      <w:rPr>
        <w:b/>
        <w:color w:val="93CDDD" w:themeColor="accent5" w:themeTint="99"/>
        <w14:textFill>
          <w14:solidFill>
            <w14:schemeClr w14:val="accent5">
              <w14:lumMod w14:val="60000"/>
              <w14:lumOff w14:val="40000"/>
            </w14:schemeClr>
          </w14:solidFill>
        </w14:textFill>
      </w:rPr>
      <w:tblPr/>
    </w:tblStylePr>
    <w:tblStylePr w:type="band1Vert">
      <w:tblPr/>
      <w:tcPr>
        <w:shd w:val="clear" w:color="D1EAF0" w:themeColor="accent5" w:themeTint="40" w:fill="D1EAF0" w:themeFill="accent5" w:themeFillTint="40"/>
      </w:tcPr>
    </w:tblStylePr>
    <w:tblStylePr w:type="band2Vert">
      <w:tbl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bl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6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bl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bl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Pr/>
    </w:tblStylePr>
    <w:tblStylePr w:type="lastCol">
      <w:rPr>
        <w:b/>
        <w:color w:val="FAC090" w:themeColor="accent6" w:themeTint="99"/>
        <w14:textFill>
          <w14:solidFill>
            <w14:schemeClr w14:val="accent6">
              <w14:lumMod w14:val="60000"/>
              <w14:lumOff w14:val="40000"/>
            </w14:schemeClr>
          </w14:solidFill>
        </w14:textFill>
      </w:rPr>
      <w:tblPr/>
    </w:tblStylePr>
    <w:tblStylePr w:type="band1Vert">
      <w:tblPr/>
      <w:tcPr>
        <w:shd w:val="clear" w:color="FCE4D0" w:themeColor="accent6" w:themeTint="40" w:fill="FCE4D0" w:themeFill="accent6" w:themeFillTint="40"/>
      </w:tcPr>
    </w:tblStylePr>
    <w:tblStylePr w:type="band2Vert">
      <w:tbl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bl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64">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bl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blPr/>
      <w:tcPr>
        <w:tcBorders>
          <w:top w:val="nil"/>
          <w:left w:val="single" w:color="7E7E7E" w:themeColor="text1" w:themeTint="80" w:sz="4" w:space="0"/>
          <w:bottom w:val="nil"/>
          <w:right w:val="nil"/>
        </w:tcBorders>
        <w:shd w:val="clear" w:color="FFFFFF" w:fill="auto"/>
      </w:tcPr>
    </w:tblStylePr>
    <w:tblStylePr w:type="band1Vert">
      <w:tblPr/>
      <w:tcPr>
        <w:shd w:val="clear" w:color="BEBEBE" w:themeColor="text1" w:themeTint="40" w:fill="BEBEBE" w:themeFill="text1" w:themeFillTint="40"/>
      </w:tcPr>
    </w:tblStylePr>
    <w:tblStylePr w:type="band2Vert">
      <w:tblPr/>
    </w:tblStylePr>
    <w:tblStylePr w:type="band1Horz">
      <w:rPr>
        <w:rFonts w:ascii="Arial" w:hAnsi="Arial"/>
        <w:color w:val="808080" w:themeColor="text1" w:themeTint="80"/>
        <w:sz w:val="22"/>
        <w14:textFill>
          <w14:solidFill>
            <w14:schemeClr w14:val="tx1">
              <w14:lumMod w14:val="50000"/>
              <w14:lumOff w14:val="50000"/>
            </w14:schemeClr>
          </w14:solidFill>
        </w14:textFill>
      </w:rPr>
      <w:tbl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6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bl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bl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bl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blPr/>
      <w:tcPr>
        <w:tcBorders>
          <w:top w:val="nil"/>
          <w:left w:val="single" w:color="4F81BD" w:themeColor="accent1" w:sz="4" w:space="0"/>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2Vert">
      <w:tblPr/>
    </w:tblStylePr>
    <w:tblStylePr w:type="band1Horz">
      <w:rPr>
        <w:rFonts w:ascii="Arial" w:hAnsi="Arial"/>
        <w:color w:val="2A4B71" w:themeColor="accent1" w:themeShade="94"/>
        <w:sz w:val="22"/>
      </w:rPr>
      <w:tblPr/>
      <w:tcPr>
        <w:shd w:val="clear" w:color="D2DFEE" w:themeColor="accent1" w:themeTint="40" w:fill="D2DFEE" w:themeFill="accent1" w:themeFillTint="40"/>
      </w:tcPr>
    </w:tblStylePr>
    <w:tblStylePr w:type="band2Horz">
      <w:rPr>
        <w:rFonts w:ascii="Arial" w:hAnsi="Arial"/>
        <w:color w:val="2A4B71" w:themeColor="accent1" w:themeShade="94"/>
        <w:sz w:val="22"/>
      </w:rPr>
      <w:tblPr/>
    </w:tblStylePr>
    <w:tblStylePr w:type="neCell">
      <w:tblPr/>
    </w:tblStylePr>
    <w:tblStylePr w:type="nwCell">
      <w:tblPr/>
    </w:tblStylePr>
    <w:tblStylePr w:type="seCell">
      <w:tblPr/>
    </w:tblStylePr>
    <w:tblStylePr w:type="swCell">
      <w:tblPr/>
    </w:tblStylePr>
  </w:style>
  <w:style w:type="table" w:customStyle="1" w:styleId="16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bl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bl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bl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blPr/>
      <w:tcPr>
        <w:tcBorders>
          <w:top w:val="nil"/>
          <w:left w:val="single" w:color="D99795" w:themeColor="accent2" w:themeTint="97" w:sz="4" w:space="0"/>
          <w:bottom w:val="nil"/>
          <w:right w:val="nil"/>
        </w:tcBorders>
        <w:shd w:val="clear" w:color="FFFFFF" w:fill="auto"/>
      </w:tcPr>
    </w:tblStylePr>
    <w:tblStylePr w:type="band1Vert">
      <w:tblPr/>
      <w:tcPr>
        <w:shd w:val="clear" w:color="EFD3D2" w:themeColor="accent2" w:themeTint="40" w:fill="EFD3D2" w:themeFill="accent2" w:themeFillTint="40"/>
      </w:tcPr>
    </w:tblStylePr>
    <w:tblStylePr w:type="band2Vert">
      <w:tbl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bl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6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bl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bl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bl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blPr/>
      <w:tcPr>
        <w:tcBorders>
          <w:top w:val="nil"/>
          <w:left w:val="single" w:color="C3D69C" w:themeColor="accent3" w:themeTint="98" w:sz="4" w:space="0"/>
          <w:bottom w:val="nil"/>
          <w:right w:val="nil"/>
        </w:tcBorders>
        <w:shd w:val="clear" w:color="FFFFFF" w:fill="auto"/>
      </w:tcPr>
    </w:tblStylePr>
    <w:tblStylePr w:type="band1Vert">
      <w:tblPr/>
      <w:tcPr>
        <w:shd w:val="clear" w:color="E5EDD5" w:themeColor="accent3" w:themeTint="40" w:fill="E5EDD5" w:themeFill="accent3" w:themeFillTint="40"/>
      </w:tcPr>
    </w:tblStylePr>
    <w:tblStylePr w:type="band2Vert">
      <w:tbl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bl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6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bl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bl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bl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blPr/>
      <w:tcPr>
        <w:tcBorders>
          <w:top w:val="nil"/>
          <w:left w:val="single" w:color="B2A1C6" w:themeColor="accent4" w:themeTint="9A" w:sz="4" w:space="0"/>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2Vert">
      <w:tbl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bl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6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bl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bl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bl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blPr/>
      <w:tcPr>
        <w:tcBorders>
          <w:top w:val="nil"/>
          <w:left w:val="single" w:color="92CCDC" w:themeColor="accent5" w:themeTint="9A" w:sz="4" w:space="0"/>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2Vert">
      <w:tbl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bl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7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bl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bl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bl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blPr/>
      <w:tcPr>
        <w:tcBorders>
          <w:top w:val="nil"/>
          <w:left w:val="single" w:color="FAC090" w:themeColor="accent6" w:themeTint="98" w:sz="4" w:space="0"/>
          <w:bottom w:val="nil"/>
          <w:right w:val="nil"/>
        </w:tcBorders>
        <w:shd w:val="clear" w:color="FFFFFF" w:fill="auto"/>
      </w:tcPr>
    </w:tblStylePr>
    <w:tblStylePr w:type="band1Vert">
      <w:tblPr/>
      <w:tcPr>
        <w:shd w:val="clear" w:color="FCE4D0" w:themeColor="accent6" w:themeTint="40" w:fill="FCE4D0" w:themeFill="accent6" w:themeFillTint="40"/>
      </w:tcPr>
    </w:tblStylePr>
    <w:tblStylePr w:type="band2Vert">
      <w:tbl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bl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Pr/>
    </w:tblStylePr>
    <w:tblStylePr w:type="neCell">
      <w:tblPr/>
    </w:tblStylePr>
    <w:tblStylePr w:type="nwCell">
      <w:tblPr/>
    </w:tblStylePr>
    <w:tblStylePr w:type="seCell">
      <w:tblPr/>
    </w:tblStylePr>
    <w:tblStylePr w:type="swCell">
      <w:tblPr/>
    </w:tblStylePr>
  </w:style>
  <w:style w:type="table" w:customStyle="1" w:styleId="17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7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5D8BC2" w:themeColor="accent1" w:themeTint="EA" w:fill="5D8BC2" w:themeFill="accent1" w:themeFillTint="EA"/>
      </w:tcPr>
    </w:tblStylePr>
    <w:tblStylePr w:type="lastRow">
      <w:rPr>
        <w:rFonts w:ascii="Arial" w:hAnsi="Arial"/>
        <w:color w:val="F2F2F2"/>
        <w:sz w:val="22"/>
      </w:rPr>
      <w:tblPr/>
      <w:tcPr>
        <w:shd w:val="clear" w:color="5D8BC2" w:themeColor="accent1" w:themeTint="EA" w:fill="5D8BC2" w:themeFill="accent1" w:themeFillTint="EA"/>
      </w:tcPr>
    </w:tblStylePr>
    <w:tblStylePr w:type="firstCol">
      <w:rPr>
        <w:rFonts w:ascii="Arial" w:hAnsi="Arial"/>
        <w:color w:val="F2F2F2"/>
        <w:sz w:val="22"/>
      </w:rPr>
      <w:tblPr/>
      <w:tcPr>
        <w:shd w:val="clear" w:color="5D8BC2" w:themeColor="accent1" w:themeTint="EA" w:fill="5D8BC2" w:themeFill="accent1" w:themeFillTint="EA"/>
      </w:tcPr>
    </w:tblStylePr>
    <w:tblStylePr w:type="lastCol">
      <w:rPr>
        <w:rFonts w:ascii="Arial" w:hAnsi="Arial"/>
        <w:color w:val="F2F2F2"/>
        <w:sz w:val="22"/>
      </w:rPr>
      <w:tblPr/>
      <w:tcPr>
        <w:shd w:val="clear" w:color="5D8BC2" w:themeColor="accent1" w:themeTint="EA" w:fill="5D8BC2"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7D7EA" w:themeColor="accent1" w:themeTint="50" w:fill="C7D7EA" w:themeFill="accent1" w:themeFillTint="50"/>
      </w:tcPr>
    </w:tblStylePr>
    <w:tblStylePr w:type="neCell">
      <w:tblPr/>
    </w:tblStylePr>
    <w:tblStylePr w:type="nwCell">
      <w:tblPr/>
    </w:tblStylePr>
    <w:tblStylePr w:type="seCell">
      <w:tblPr/>
    </w:tblStylePr>
    <w:tblStylePr w:type="swCell">
      <w:tblPr/>
    </w:tblStylePr>
  </w:style>
  <w:style w:type="table" w:customStyle="1" w:styleId="17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D99795" w:themeColor="accent2" w:themeTint="97" w:fill="D99795" w:themeFill="accent2" w:themeFillTint="97"/>
      </w:tcPr>
    </w:tblStylePr>
    <w:tblStylePr w:type="lastRow">
      <w:rPr>
        <w:rFonts w:ascii="Arial" w:hAnsi="Arial"/>
        <w:color w:val="F2F2F2"/>
        <w:sz w:val="22"/>
      </w:rPr>
      <w:tblPr/>
      <w:tcPr>
        <w:shd w:val="clear" w:color="D99795" w:themeColor="accent2" w:themeTint="97" w:fill="D99795" w:themeFill="accent2" w:themeFillTint="97"/>
      </w:tcPr>
    </w:tblStylePr>
    <w:tblStylePr w:type="firstCol">
      <w:rPr>
        <w:rFonts w:ascii="Arial" w:hAnsi="Arial"/>
        <w:color w:val="F2F2F2"/>
        <w:sz w:val="22"/>
      </w:rPr>
      <w:tblPr/>
      <w:tcPr>
        <w:shd w:val="clear" w:color="D99795" w:themeColor="accent2" w:themeTint="97" w:fill="D99795" w:themeFill="accent2" w:themeFillTint="97"/>
      </w:tcPr>
    </w:tblStylePr>
    <w:tblStylePr w:type="lastCol">
      <w:rPr>
        <w:rFonts w:ascii="Arial" w:hAnsi="Arial"/>
        <w:color w:val="F2F2F2"/>
        <w:sz w:val="22"/>
      </w:rPr>
      <w:tblPr/>
      <w:tcPr>
        <w:shd w:val="clear" w:color="D99795" w:themeColor="accent2" w:themeTint="97" w:fill="D9979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2DCDC" w:themeColor="accent2" w:themeTint="32" w:fill="F2DCDC" w:themeFill="accent2" w:themeFillTint="32"/>
      </w:tcPr>
    </w:tblStylePr>
    <w:tblStylePr w:type="neCell">
      <w:tblPr/>
    </w:tblStylePr>
    <w:tblStylePr w:type="nwCell">
      <w:tblPr/>
    </w:tblStylePr>
    <w:tblStylePr w:type="seCell">
      <w:tblPr/>
    </w:tblStylePr>
    <w:tblStylePr w:type="swCell">
      <w:tblPr/>
    </w:tblStylePr>
  </w:style>
  <w:style w:type="table" w:customStyle="1" w:styleId="17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9BBB59" w:themeColor="accent3" w:themeTint="FE" w:fill="9BBB59" w:themeFill="accent3" w:themeFillTint="FE"/>
      </w:tcPr>
    </w:tblStylePr>
    <w:tblStylePr w:type="lastRow">
      <w:rPr>
        <w:rFonts w:ascii="Arial" w:hAnsi="Arial"/>
        <w:color w:val="F2F2F2"/>
        <w:sz w:val="22"/>
      </w:rPr>
      <w:tblPr/>
      <w:tcPr>
        <w:shd w:val="clear" w:color="9BBB59" w:themeColor="accent3" w:themeTint="FE" w:fill="9BBB59" w:themeFill="accent3" w:themeFillTint="FE"/>
      </w:tcPr>
    </w:tblStylePr>
    <w:tblStylePr w:type="firstCol">
      <w:rPr>
        <w:rFonts w:ascii="Arial" w:hAnsi="Arial"/>
        <w:color w:val="F2F2F2"/>
        <w:sz w:val="22"/>
      </w:rPr>
      <w:tblPr/>
      <w:tcPr>
        <w:shd w:val="clear" w:color="9BBB59" w:themeColor="accent3" w:themeTint="FE" w:fill="9BBB59" w:themeFill="accent3" w:themeFillTint="FE"/>
      </w:tcPr>
    </w:tblStylePr>
    <w:tblStylePr w:type="lastCol">
      <w:rPr>
        <w:rFonts w:ascii="Arial" w:hAnsi="Arial"/>
        <w:color w:val="F2F2F2"/>
        <w:sz w:val="22"/>
      </w:rPr>
      <w:tblPr/>
      <w:tcPr>
        <w:shd w:val="clear" w:color="9BBB59" w:themeColor="accent3" w:themeTint="FE" w:fill="9BBB59"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AF1DD" w:themeColor="accent3" w:themeTint="34" w:fill="EAF1DD"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AF1DD" w:themeColor="accent3" w:themeTint="34" w:fill="EAF1DD" w:themeFill="accent3" w:themeFillTint="34"/>
      </w:tcPr>
    </w:tblStylePr>
    <w:tblStylePr w:type="neCell">
      <w:tblPr/>
    </w:tblStylePr>
    <w:tblStylePr w:type="nwCell">
      <w:tblPr/>
    </w:tblStylePr>
    <w:tblStylePr w:type="seCell">
      <w:tblPr/>
    </w:tblStylePr>
    <w:tblStylePr w:type="swCell">
      <w:tblPr/>
    </w:tblStylePr>
  </w:style>
  <w:style w:type="table" w:customStyle="1" w:styleId="17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5DFEC" w:themeColor="accent4" w:themeTint="34" w:fill="E5DFEC" w:themeFill="accent4" w:themeFillTint="34"/>
      </w:tcPr>
    </w:tblStylePr>
    <w:tblStylePr w:type="neCell">
      <w:tblPr/>
    </w:tblStylePr>
    <w:tblStylePr w:type="nwCell">
      <w:tblPr/>
    </w:tblStylePr>
    <w:tblStylePr w:type="seCell">
      <w:tblPr/>
    </w:tblStylePr>
    <w:tblStylePr w:type="swCell">
      <w:tblPr/>
    </w:tblStylePr>
  </w:style>
  <w:style w:type="table" w:customStyle="1" w:styleId="17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AEEF3" w:themeColor="accent5" w:themeTint="34" w:fill="DAEEF3" w:themeFill="accent5" w:themeFillTint="34"/>
      </w:tcPr>
    </w:tblStylePr>
    <w:tblStylePr w:type="neCell">
      <w:tblPr/>
    </w:tblStylePr>
    <w:tblStylePr w:type="nwCell">
      <w:tblPr/>
    </w:tblStylePr>
    <w:tblStylePr w:type="seCell">
      <w:tblPr/>
    </w:tblStylePr>
    <w:tblStylePr w:type="swCell">
      <w:tblPr/>
    </w:tblStylePr>
  </w:style>
  <w:style w:type="table" w:customStyle="1" w:styleId="17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FDE9D9" w:themeColor="accent6" w:themeTint="34" w:fill="FDE9D9"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DE9D9" w:themeColor="accent6" w:themeTint="34" w:fill="FDE9D9" w:themeFill="accent6" w:themeFillTint="34"/>
      </w:tcPr>
    </w:tblStylePr>
    <w:tblStylePr w:type="neCell">
      <w:tblPr/>
    </w:tblStylePr>
    <w:tblStylePr w:type="nwCell">
      <w:tblPr/>
    </w:tblStylePr>
    <w:tblStylePr w:type="seCell">
      <w:tblPr/>
    </w:tblStylePr>
    <w:tblStylePr w:type="swCell">
      <w:tblPr/>
    </w:tblStylePr>
  </w:style>
  <w:style w:type="table" w:customStyle="1" w:styleId="17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blPr/>
      <w:tcPr>
        <w:shd w:val="clear" w:color="7E7E7E" w:themeColor="text1" w:themeTint="80" w:fill="7E7E7E" w:themeFill="text1" w:themeFillTint="80"/>
      </w:tcPr>
    </w:tblStylePr>
    <w:tblStylePr w:type="lastRow">
      <w:rPr>
        <w:rFonts w:ascii="Arial" w:hAnsi="Arial"/>
        <w:color w:val="F2F2F2"/>
        <w:sz w:val="22"/>
      </w:rPr>
      <w:tblPr/>
      <w:tcPr>
        <w:shd w:val="clear" w:color="7E7E7E" w:themeColor="text1" w:themeTint="80" w:fill="7E7E7E" w:themeFill="text1" w:themeFillTint="80"/>
      </w:tcPr>
    </w:tblStylePr>
    <w:tblStylePr w:type="firstCol">
      <w:rPr>
        <w:rFonts w:ascii="Arial" w:hAnsi="Arial"/>
        <w:color w:val="F2F2F2"/>
        <w:sz w:val="22"/>
      </w:rPr>
      <w:tblPr/>
      <w:tcPr>
        <w:shd w:val="clear" w:color="7E7E7E" w:themeColor="text1" w:themeTint="80" w:fill="7E7E7E" w:themeFill="text1" w:themeFillTint="80"/>
      </w:tcPr>
    </w:tblStylePr>
    <w:tblStylePr w:type="lastCol">
      <w:rPr>
        <w:rFonts w:ascii="Arial" w:hAnsi="Arial"/>
        <w:color w:val="F2F2F2"/>
        <w:sz w:val="22"/>
      </w:rPr>
      <w:tblPr/>
      <w:tcPr>
        <w:shd w:val="clear" w:color="7E7E7E" w:themeColor="text1" w:themeTint="80" w:fill="7E7E7E" w:themeFill="text1" w:themeFillTint="80"/>
      </w:tcPr>
    </w:tblStylePr>
    <w:tblStylePr w:type="band1Vert">
      <w:rPr>
        <w:rFonts w:ascii="Arial" w:hAnsi="Arial"/>
        <w:color w:val="404040"/>
        <w:sz w:val="22"/>
      </w:rPr>
      <w:tblPr/>
    </w:tblStylePr>
    <w:tblStylePr w:type="band2Vert">
      <w:rPr>
        <w:rFonts w:ascii="Arial" w:hAnsi="Arial"/>
        <w:color w:val="404040"/>
        <w:sz w:val="22"/>
      </w:rPr>
      <w:tblPr/>
      <w:tcPr>
        <w:shd w:val="clear" w:color="F1F1F1" w:themeColor="text1" w:themeTint="0D" w:fill="F1F1F1" w:themeFill="text1" w:themeFillTint="0D"/>
      </w:tcPr>
    </w:tblStylePr>
    <w:tblStylePr w:type="band1Horz">
      <w:rPr>
        <w:rFonts w:ascii="Arial" w:hAnsi="Arial"/>
        <w:color w:val="404040"/>
        <w:sz w:val="22"/>
      </w:rPr>
      <w:tblPr/>
    </w:tblStylePr>
    <w:tblStylePr w:type="band2Horz">
      <w:rPr>
        <w:rFonts w:ascii="Arial" w:hAnsi="Arial"/>
        <w:color w:val="404040"/>
        <w:sz w:val="22"/>
      </w:rPr>
      <w:tblPr/>
      <w:tcPr>
        <w:shd w:val="clear" w:color="F1F1F1" w:themeColor="text1" w:themeTint="0D" w:fill="F1F1F1" w:themeFill="text1" w:themeFillTint="0D"/>
      </w:tcPr>
    </w:tblStylePr>
    <w:tblStylePr w:type="neCell">
      <w:tblPr/>
    </w:tblStylePr>
    <w:tblStylePr w:type="nwCell">
      <w:tblPr/>
    </w:tblStylePr>
    <w:tblStylePr w:type="seCell">
      <w:tblPr/>
    </w:tblStylePr>
    <w:tblStylePr w:type="swCell">
      <w:tblPr/>
    </w:tblStylePr>
  </w:style>
  <w:style w:type="table" w:customStyle="1" w:styleId="17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blPr/>
      <w:tcPr>
        <w:shd w:val="clear" w:color="5D8BC2" w:themeColor="accent1" w:themeTint="EA" w:fill="5D8BC2" w:themeFill="accent1" w:themeFillTint="EA"/>
      </w:tcPr>
    </w:tblStylePr>
    <w:tblStylePr w:type="lastRow">
      <w:rPr>
        <w:rFonts w:ascii="Arial" w:hAnsi="Arial"/>
        <w:color w:val="F2F2F2"/>
        <w:sz w:val="22"/>
      </w:rPr>
      <w:tblPr/>
      <w:tcPr>
        <w:shd w:val="clear" w:color="5D8BC2" w:themeColor="accent1" w:themeTint="EA" w:fill="5D8BC2" w:themeFill="accent1" w:themeFillTint="EA"/>
      </w:tcPr>
    </w:tblStylePr>
    <w:tblStylePr w:type="firstCol">
      <w:rPr>
        <w:rFonts w:ascii="Arial" w:hAnsi="Arial"/>
        <w:color w:val="F2F2F2"/>
        <w:sz w:val="22"/>
      </w:rPr>
      <w:tblPr/>
      <w:tcPr>
        <w:shd w:val="clear" w:color="5D8BC2" w:themeColor="accent1" w:themeTint="EA" w:fill="5D8BC2" w:themeFill="accent1" w:themeFillTint="EA"/>
      </w:tcPr>
    </w:tblStylePr>
    <w:tblStylePr w:type="lastCol">
      <w:rPr>
        <w:rFonts w:ascii="Arial" w:hAnsi="Arial"/>
        <w:color w:val="F2F2F2"/>
        <w:sz w:val="22"/>
      </w:rPr>
      <w:tblPr/>
      <w:tcPr>
        <w:shd w:val="clear" w:color="5D8BC2" w:themeColor="accent1" w:themeTint="EA" w:fill="5D8BC2" w:themeFill="accent1" w:themeFillTint="EA"/>
      </w:tcPr>
    </w:tblStylePr>
    <w:tblStylePr w:type="band1Vert">
      <w:rPr>
        <w:rFonts w:ascii="Arial" w:hAnsi="Arial"/>
        <w:color w:val="404040"/>
        <w:sz w:val="22"/>
      </w:rPr>
      <w:tbl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Pr/>
    </w:tblStylePr>
    <w:tblStylePr w:type="band2Horz">
      <w:rPr>
        <w:rFonts w:ascii="Arial" w:hAnsi="Arial"/>
        <w:color w:val="404040"/>
        <w:sz w:val="22"/>
      </w:rPr>
      <w:tblPr/>
      <w:tcPr>
        <w:shd w:val="clear" w:color="C7D7EA" w:themeColor="accent1" w:themeTint="50" w:fill="C7D7EA" w:themeFill="accent1" w:themeFillTint="50"/>
      </w:tcPr>
    </w:tblStylePr>
    <w:tblStylePr w:type="neCell">
      <w:tblPr/>
    </w:tblStylePr>
    <w:tblStylePr w:type="nwCell">
      <w:tblPr/>
    </w:tblStylePr>
    <w:tblStylePr w:type="seCell">
      <w:tblPr/>
    </w:tblStylePr>
    <w:tblStylePr w:type="swCell">
      <w:tblPr/>
    </w:tblStylePr>
  </w:style>
  <w:style w:type="table" w:customStyle="1" w:styleId="18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blPr/>
      <w:tcPr>
        <w:shd w:val="clear" w:color="D99795" w:themeColor="accent2" w:themeTint="97" w:fill="D99795" w:themeFill="accent2" w:themeFillTint="97"/>
      </w:tcPr>
    </w:tblStylePr>
    <w:tblStylePr w:type="lastRow">
      <w:rPr>
        <w:rFonts w:ascii="Arial" w:hAnsi="Arial"/>
        <w:color w:val="F2F2F2"/>
        <w:sz w:val="22"/>
      </w:rPr>
      <w:tblPr/>
      <w:tcPr>
        <w:shd w:val="clear" w:color="D99795" w:themeColor="accent2" w:themeTint="97" w:fill="D99795" w:themeFill="accent2" w:themeFillTint="97"/>
      </w:tcPr>
    </w:tblStylePr>
    <w:tblStylePr w:type="firstCol">
      <w:rPr>
        <w:rFonts w:ascii="Arial" w:hAnsi="Arial"/>
        <w:color w:val="F2F2F2"/>
        <w:sz w:val="22"/>
      </w:rPr>
      <w:tblPr/>
      <w:tcPr>
        <w:shd w:val="clear" w:color="D99795" w:themeColor="accent2" w:themeTint="97" w:fill="D99795" w:themeFill="accent2" w:themeFillTint="97"/>
      </w:tcPr>
    </w:tblStylePr>
    <w:tblStylePr w:type="lastCol">
      <w:rPr>
        <w:rFonts w:ascii="Arial" w:hAnsi="Arial"/>
        <w:color w:val="F2F2F2"/>
        <w:sz w:val="22"/>
      </w:rPr>
      <w:tblPr/>
      <w:tcPr>
        <w:shd w:val="clear" w:color="D99795" w:themeColor="accent2" w:themeTint="97" w:fill="D99795" w:themeFill="accent2" w:themeFillTint="97"/>
      </w:tcPr>
    </w:tblStylePr>
    <w:tblStylePr w:type="band1Vert">
      <w:rPr>
        <w:rFonts w:ascii="Arial" w:hAnsi="Arial"/>
        <w:color w:val="404040"/>
        <w:sz w:val="22"/>
      </w:rPr>
      <w:tbl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blStylePr>
    <w:tblStylePr w:type="band2Horz">
      <w:rPr>
        <w:rFonts w:ascii="Arial" w:hAnsi="Arial"/>
        <w:color w:val="404040"/>
        <w:sz w:val="22"/>
      </w:rPr>
      <w:tblPr/>
      <w:tcPr>
        <w:shd w:val="clear" w:color="F2DCDC" w:themeColor="accent2" w:themeTint="32" w:fill="F2DCDC" w:themeFill="accent2" w:themeFillTint="32"/>
      </w:tcPr>
    </w:tblStylePr>
    <w:tblStylePr w:type="neCell">
      <w:tblPr/>
    </w:tblStylePr>
    <w:tblStylePr w:type="nwCell">
      <w:tblPr/>
    </w:tblStylePr>
    <w:tblStylePr w:type="seCell">
      <w:tblPr/>
    </w:tblStylePr>
    <w:tblStylePr w:type="swCell">
      <w:tblPr/>
    </w:tblStylePr>
  </w:style>
  <w:style w:type="table" w:customStyle="1" w:styleId="18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blPr/>
      <w:tcPr>
        <w:shd w:val="clear" w:color="9BBB59" w:themeColor="accent3" w:themeTint="FE" w:fill="9BBB59" w:themeFill="accent3" w:themeFillTint="FE"/>
      </w:tcPr>
    </w:tblStylePr>
    <w:tblStylePr w:type="lastRow">
      <w:rPr>
        <w:rFonts w:ascii="Arial" w:hAnsi="Arial"/>
        <w:color w:val="F2F2F2"/>
        <w:sz w:val="22"/>
      </w:rPr>
      <w:tblPr/>
      <w:tcPr>
        <w:shd w:val="clear" w:color="9BBB59" w:themeColor="accent3" w:themeTint="FE" w:fill="9BBB59" w:themeFill="accent3" w:themeFillTint="FE"/>
      </w:tcPr>
    </w:tblStylePr>
    <w:tblStylePr w:type="firstCol">
      <w:rPr>
        <w:rFonts w:ascii="Arial" w:hAnsi="Arial"/>
        <w:color w:val="F2F2F2"/>
        <w:sz w:val="22"/>
      </w:rPr>
      <w:tblPr/>
      <w:tcPr>
        <w:shd w:val="clear" w:color="9BBB59" w:themeColor="accent3" w:themeTint="FE" w:fill="9BBB59" w:themeFill="accent3" w:themeFillTint="FE"/>
      </w:tcPr>
    </w:tblStylePr>
    <w:tblStylePr w:type="lastCol">
      <w:rPr>
        <w:rFonts w:ascii="Arial" w:hAnsi="Arial"/>
        <w:color w:val="F2F2F2"/>
        <w:sz w:val="22"/>
      </w:rPr>
      <w:tblPr/>
      <w:tcPr>
        <w:shd w:val="clear" w:color="9BBB59" w:themeColor="accent3" w:themeTint="FE" w:fill="9BBB59" w:themeFill="accent3" w:themeFillTint="FE"/>
      </w:tcPr>
    </w:tblStylePr>
    <w:tblStylePr w:type="band1Vert">
      <w:rPr>
        <w:rFonts w:ascii="Arial" w:hAnsi="Arial"/>
        <w:color w:val="404040"/>
        <w:sz w:val="22"/>
      </w:rPr>
      <w:tblPr/>
    </w:tblStylePr>
    <w:tblStylePr w:type="band2Vert">
      <w:rPr>
        <w:rFonts w:ascii="Arial" w:hAnsi="Arial"/>
        <w:color w:val="404040"/>
        <w:sz w:val="22"/>
      </w:rPr>
      <w:tblPr/>
      <w:tcPr>
        <w:shd w:val="clear" w:color="EAF1DD" w:themeColor="accent3" w:themeTint="34" w:fill="EAF1DD" w:themeFill="accent3"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AF1DD" w:themeColor="accent3" w:themeTint="34" w:fill="EAF1DD" w:themeFill="accent3" w:themeFillTint="34"/>
      </w:tcPr>
    </w:tblStylePr>
    <w:tblStylePr w:type="neCell">
      <w:tblPr/>
    </w:tblStylePr>
    <w:tblStylePr w:type="nwCell">
      <w:tblPr/>
    </w:tblStylePr>
    <w:tblStylePr w:type="seCell">
      <w:tblPr/>
    </w:tblStylePr>
    <w:tblStylePr w:type="swCell">
      <w:tblPr/>
    </w:tblStylePr>
  </w:style>
  <w:style w:type="table" w:customStyle="1" w:styleId="18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E5DFEC" w:themeColor="accent4" w:themeTint="34" w:fill="E5DFEC" w:themeFill="accent4" w:themeFillTint="34"/>
      </w:tcPr>
    </w:tblStylePr>
    <w:tblStylePr w:type="neCell">
      <w:tblPr/>
    </w:tblStylePr>
    <w:tblStylePr w:type="nwCell">
      <w:tblPr/>
    </w:tblStylePr>
    <w:tblStylePr w:type="seCell">
      <w:tblPr/>
    </w:tblStylePr>
    <w:tblStylePr w:type="swCell">
      <w:tblPr/>
    </w:tblStylePr>
  </w:style>
  <w:style w:type="table" w:customStyle="1" w:styleId="18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DAEEF3" w:themeColor="accent5" w:themeTint="34" w:fill="DAEEF3" w:themeFill="accent5" w:themeFillTint="34"/>
      </w:tcPr>
    </w:tblStylePr>
    <w:tblStylePr w:type="neCell">
      <w:tblPr/>
    </w:tblStylePr>
    <w:tblStylePr w:type="nwCell">
      <w:tblPr/>
    </w:tblStylePr>
    <w:tblStylePr w:type="seCell">
      <w:tblPr/>
    </w:tblStylePr>
    <w:tblStylePr w:type="swCell">
      <w:tblPr/>
    </w:tblStylePr>
  </w:style>
  <w:style w:type="table" w:customStyle="1" w:styleId="18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Pr/>
    </w:tblStylePr>
    <w:tblStylePr w:type="band2Vert">
      <w:rPr>
        <w:rFonts w:ascii="Arial" w:hAnsi="Arial"/>
        <w:color w:val="404040"/>
        <w:sz w:val="22"/>
      </w:rPr>
      <w:tblPr/>
      <w:tcPr>
        <w:shd w:val="clear" w:color="FDE9D9" w:themeColor="accent6" w:themeTint="34" w:fill="FDE9D9" w:themeFill="accent6" w:themeFillTint="34"/>
      </w:tcPr>
    </w:tblStylePr>
    <w:tblStylePr w:type="band1Horz">
      <w:rPr>
        <w:rFonts w:ascii="Arial" w:hAnsi="Arial"/>
        <w:color w:val="404040"/>
        <w:sz w:val="22"/>
      </w:rPr>
      <w:tblPr/>
    </w:tblStylePr>
    <w:tblStylePr w:type="band2Horz">
      <w:rPr>
        <w:rFonts w:ascii="Arial" w:hAnsi="Arial"/>
        <w:color w:val="404040"/>
        <w:sz w:val="22"/>
      </w:rPr>
      <w:tblPr/>
      <w:tcPr>
        <w:shd w:val="clear" w:color="FDE9D9" w:themeColor="accent6" w:themeTint="34" w:fill="FDE9D9" w:themeFill="accent6" w:themeFillTint="34"/>
      </w:tcPr>
    </w:tblStylePr>
    <w:tblStylePr w:type="neCell">
      <w:tblPr/>
    </w:tblStylePr>
    <w:tblStylePr w:type="nwCell">
      <w:tblPr/>
    </w:tblStylePr>
    <w:tblStylePr w:type="seCell">
      <w:tblPr/>
    </w:tblStylePr>
    <w:tblStylePr w:type="swCell">
      <w:tblPr/>
    </w:tblStylePr>
  </w:style>
  <w:style w:type="table" w:customStyle="1" w:styleId="18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blPr/>
      <w:tcPr>
        <w:tcBorders>
          <w:bottom w:val="single" w:color="7E7E7E" w:themeColor="text1" w:themeTint="80" w:sz="12" w:space="0"/>
        </w:tcBorders>
      </w:tcPr>
    </w:tblStylePr>
    <w:tblStylePr w:type="lastRow">
      <w:rPr>
        <w:rFonts w:ascii="Arial" w:hAnsi="Arial"/>
        <w:color w:val="404040"/>
        <w:sz w:val="22"/>
      </w:rPr>
      <w:tblPr/>
      <w:tcPr>
        <w:tcBorders>
          <w:top w:val="single" w:color="7E7E7E" w:themeColor="text1" w:themeTint="80"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7E7E7E" w:themeColor="text1" w:themeTint="80"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8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blPr/>
      <w:tcPr>
        <w:tcBorders>
          <w:bottom w:val="single" w:color="4F81BD" w:themeColor="accent1" w:sz="12" w:space="0"/>
        </w:tcBorders>
      </w:tcPr>
    </w:tblStylePr>
    <w:tblStylePr w:type="lastRow">
      <w:rPr>
        <w:rFonts w:ascii="Arial" w:hAnsi="Arial"/>
        <w:color w:val="404040"/>
        <w:sz w:val="22"/>
      </w:rPr>
      <w:tblPr/>
      <w:tcPr>
        <w:tcBorders>
          <w:top w:val="single" w:color="4F81BD" w:themeColor="accent1"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4F81BD" w:themeColor="accent1"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8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blPr/>
      <w:tcPr>
        <w:tcBorders>
          <w:bottom w:val="single" w:color="D99795" w:themeColor="accent2" w:themeTint="97" w:sz="12" w:space="0"/>
        </w:tcBorders>
      </w:tcPr>
    </w:tblStylePr>
    <w:tblStylePr w:type="lastRow">
      <w:rPr>
        <w:rFonts w:ascii="Arial" w:hAnsi="Arial"/>
        <w:color w:val="404040"/>
        <w:sz w:val="22"/>
      </w:rPr>
      <w:tblPr/>
      <w:tcPr>
        <w:tcBorders>
          <w:top w:val="single" w:color="D99795" w:themeColor="accent2" w:themeTint="97"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D99795" w:themeColor="accent2" w:themeTint="97"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8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blPr/>
      <w:tcPr>
        <w:tcBorders>
          <w:bottom w:val="single" w:color="C3D69C" w:themeColor="accent3" w:themeTint="98" w:sz="12" w:space="0"/>
        </w:tcBorders>
      </w:tcPr>
    </w:tblStylePr>
    <w:tblStylePr w:type="lastRow">
      <w:rPr>
        <w:rFonts w:ascii="Arial" w:hAnsi="Arial"/>
        <w:color w:val="404040"/>
        <w:sz w:val="22"/>
      </w:rPr>
      <w:tblPr/>
      <w:tcPr>
        <w:tcBorders>
          <w:top w:val="single" w:color="C3D69C" w:themeColor="accent3"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C3D69C" w:themeColor="accent3"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8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blPr/>
      <w:tcPr>
        <w:tcBorders>
          <w:bottom w:val="single" w:color="B2A1C6" w:themeColor="accent4" w:themeTint="9A" w:sz="12" w:space="0"/>
        </w:tcBorders>
      </w:tcPr>
    </w:tblStylePr>
    <w:tblStylePr w:type="lastRow">
      <w:rPr>
        <w:rFonts w:ascii="Arial" w:hAnsi="Arial"/>
        <w:color w:val="404040"/>
        <w:sz w:val="22"/>
      </w:rPr>
      <w:tblPr/>
      <w:tcPr>
        <w:tcBorders>
          <w:top w:val="single" w:color="B2A1C6" w:themeColor="accent4"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B2A1C6" w:themeColor="accent4"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9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blPr/>
      <w:tcPr>
        <w:tcBorders>
          <w:bottom w:val="single" w:color="92CCDC" w:themeColor="accent5" w:themeTint="9A" w:sz="12" w:space="0"/>
        </w:tcBorders>
      </w:tcPr>
    </w:tblStylePr>
    <w:tblStylePr w:type="lastRow">
      <w:rPr>
        <w:rFonts w:ascii="Arial" w:hAnsi="Arial"/>
        <w:color w:val="404040"/>
        <w:sz w:val="22"/>
      </w:rPr>
      <w:tblPr/>
      <w:tcPr>
        <w:tcBorders>
          <w:top w:val="single" w:color="92CCDC" w:themeColor="accent5" w:themeTint="9A"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92CCDC" w:themeColor="accent5" w:themeTint="9A"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table" w:customStyle="1" w:styleId="19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blPr/>
      <w:tcPr>
        <w:tcBorders>
          <w:bottom w:val="single" w:color="FAC090" w:themeColor="accent6" w:themeTint="98" w:sz="12" w:space="0"/>
        </w:tcBorders>
      </w:tcPr>
    </w:tblStylePr>
    <w:tblStylePr w:type="lastRow">
      <w:rPr>
        <w:rFonts w:ascii="Arial" w:hAnsi="Arial"/>
        <w:color w:val="404040"/>
        <w:sz w:val="22"/>
      </w:rPr>
      <w:tblPr/>
      <w:tcPr>
        <w:tcBorders>
          <w:top w:val="single" w:color="FAC090" w:themeColor="accent6" w:themeTint="98" w:sz="12" w:space="0"/>
        </w:tcBorders>
      </w:tcPr>
    </w:tblStylePr>
    <w:tblStylePr w:type="firstCol">
      <w:rPr>
        <w:rFonts w:ascii="Arial" w:hAnsi="Arial"/>
        <w:color w:val="404040"/>
        <w:sz w:val="22"/>
      </w:rPr>
      <w:tblPr/>
    </w:tblStylePr>
    <w:tblStylePr w:type="lastCol">
      <w:rPr>
        <w:rFonts w:ascii="Arial" w:hAnsi="Arial"/>
        <w:color w:val="404040"/>
        <w:sz w:val="22"/>
      </w:rPr>
      <w:tblPr/>
      <w:tcPr>
        <w:tcBorders>
          <w:left w:val="single" w:color="FAC090" w:themeColor="accent6" w:themeTint="98" w:sz="12" w:space="0"/>
        </w:tcBorders>
      </w:tcPr>
    </w:tblStylePr>
    <w:tblStylePr w:type="band1Vert">
      <w:tblPr/>
    </w:tblStylePr>
    <w:tblStylePr w:type="band2Vert">
      <w:tbl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192">
    <w:name w:val="尾注文本 Char"/>
    <w:link w:val="24"/>
    <w:qFormat/>
    <w:uiPriority w:val="99"/>
    <w:rPr>
      <w:sz w:val="20"/>
    </w:rPr>
  </w:style>
  <w:style w:type="paragraph" w:customStyle="1" w:styleId="193">
    <w:name w:val="标题 11"/>
    <w:basedOn w:val="1"/>
    <w:next w:val="194"/>
    <w:link w:val="207"/>
    <w:qFormat/>
    <w:uiPriority w:val="0"/>
    <w:pPr>
      <w:keepNext/>
      <w:keepLines/>
      <w:ind w:firstLine="0"/>
      <w:jc w:val="center"/>
      <w:outlineLvl w:val="0"/>
    </w:pPr>
    <w:rPr>
      <w:b/>
      <w:bCs/>
      <w:color w:val="000000"/>
      <w:sz w:val="36"/>
      <w:szCs w:val="44"/>
    </w:rPr>
  </w:style>
  <w:style w:type="paragraph" w:customStyle="1" w:styleId="194">
    <w:name w:val="正文 A"/>
    <w:next w:val="195"/>
    <w:qFormat/>
    <w:uiPriority w:val="0"/>
    <w:pPr>
      <w:widowControl w:val="0"/>
      <w:jc w:val="both"/>
    </w:pPr>
    <w:rPr>
      <w:rFonts w:hint="eastAsia" w:ascii="Arial Unicode MS" w:hAnsi="Arial Unicode MS" w:eastAsia="Times New Roman" w:cs="Arial Unicode MS"/>
      <w:color w:val="000000"/>
      <w:sz w:val="21"/>
      <w:szCs w:val="21"/>
      <w:lang w:val="en-US" w:eastAsia="zh-CN" w:bidi="ar-SA"/>
    </w:rPr>
  </w:style>
  <w:style w:type="paragraph" w:customStyle="1" w:styleId="195">
    <w:name w:val="标题 41"/>
    <w:basedOn w:val="1"/>
    <w:next w:val="196"/>
    <w:link w:val="210"/>
    <w:qFormat/>
    <w:uiPriority w:val="0"/>
    <w:pPr>
      <w:keepNext/>
      <w:keepLines/>
      <w:spacing w:before="280" w:after="290" w:line="376" w:lineRule="auto"/>
      <w:outlineLvl w:val="3"/>
    </w:pPr>
    <w:rPr>
      <w:rFonts w:ascii="Cambria" w:hAnsi="Cambria"/>
      <w:b/>
      <w:bCs/>
      <w:sz w:val="28"/>
      <w:szCs w:val="28"/>
    </w:rPr>
  </w:style>
  <w:style w:type="paragraph" w:customStyle="1" w:styleId="196">
    <w:name w:val="正文缩进1"/>
    <w:basedOn w:val="1"/>
    <w:link w:val="217"/>
    <w:qFormat/>
    <w:uiPriority w:val="0"/>
    <w:pPr>
      <w:spacing w:line="360" w:lineRule="atLeast"/>
      <w:ind w:firstLine="420"/>
    </w:pPr>
    <w:rPr>
      <w:sz w:val="21"/>
      <w:szCs w:val="20"/>
    </w:rPr>
  </w:style>
  <w:style w:type="paragraph" w:customStyle="1" w:styleId="197">
    <w:name w:val="标题 21"/>
    <w:basedOn w:val="1"/>
    <w:next w:val="194"/>
    <w:link w:val="208"/>
    <w:qFormat/>
    <w:uiPriority w:val="9"/>
    <w:pPr>
      <w:keepNext/>
      <w:keepLines/>
      <w:ind w:firstLine="0"/>
      <w:outlineLvl w:val="1"/>
    </w:pPr>
    <w:rPr>
      <w:rFonts w:ascii="Cambria" w:hAnsi="Cambria"/>
      <w:b/>
      <w:bCs/>
      <w:sz w:val="28"/>
      <w:szCs w:val="32"/>
    </w:rPr>
  </w:style>
  <w:style w:type="paragraph" w:customStyle="1" w:styleId="198">
    <w:name w:val="标题 31"/>
    <w:basedOn w:val="1"/>
    <w:next w:val="1"/>
    <w:link w:val="209"/>
    <w:qFormat/>
    <w:uiPriority w:val="0"/>
    <w:pPr>
      <w:keepNext/>
      <w:keepLines/>
      <w:outlineLvl w:val="2"/>
    </w:pPr>
    <w:rPr>
      <w:bCs/>
      <w:szCs w:val="32"/>
    </w:rPr>
  </w:style>
  <w:style w:type="paragraph" w:customStyle="1" w:styleId="199">
    <w:name w:val="标题 51"/>
    <w:basedOn w:val="1"/>
    <w:next w:val="1"/>
    <w:link w:val="211"/>
    <w:qFormat/>
    <w:uiPriority w:val="0"/>
    <w:pPr>
      <w:keepNext/>
      <w:keepLines/>
      <w:spacing w:before="280" w:after="290" w:line="376" w:lineRule="auto"/>
      <w:outlineLvl w:val="4"/>
    </w:pPr>
    <w:rPr>
      <w:b/>
      <w:bCs/>
      <w:sz w:val="28"/>
      <w:szCs w:val="28"/>
    </w:rPr>
  </w:style>
  <w:style w:type="paragraph" w:customStyle="1" w:styleId="200">
    <w:name w:val="标题 61"/>
    <w:basedOn w:val="1"/>
    <w:next w:val="1"/>
    <w:link w:val="212"/>
    <w:qFormat/>
    <w:uiPriority w:val="0"/>
    <w:pPr>
      <w:keepNext/>
      <w:keepLines/>
      <w:spacing w:before="240" w:after="64" w:line="320" w:lineRule="auto"/>
      <w:outlineLvl w:val="5"/>
    </w:pPr>
    <w:rPr>
      <w:rFonts w:ascii="Cambria" w:hAnsi="Cambria"/>
      <w:b/>
      <w:bCs/>
    </w:rPr>
  </w:style>
  <w:style w:type="paragraph" w:customStyle="1" w:styleId="201">
    <w:name w:val="标题 71"/>
    <w:basedOn w:val="1"/>
    <w:next w:val="1"/>
    <w:link w:val="213"/>
    <w:qFormat/>
    <w:uiPriority w:val="0"/>
    <w:pPr>
      <w:keepNext/>
      <w:keepLines/>
      <w:spacing w:before="240" w:after="64" w:line="320" w:lineRule="auto"/>
      <w:outlineLvl w:val="6"/>
    </w:pPr>
    <w:rPr>
      <w:b/>
      <w:bCs/>
    </w:rPr>
  </w:style>
  <w:style w:type="paragraph" w:customStyle="1" w:styleId="202">
    <w:name w:val="标题 81"/>
    <w:basedOn w:val="1"/>
    <w:next w:val="1"/>
    <w:link w:val="214"/>
    <w:qFormat/>
    <w:uiPriority w:val="0"/>
    <w:pPr>
      <w:keepNext/>
      <w:keepLines/>
      <w:spacing w:before="240" w:after="64" w:line="320" w:lineRule="auto"/>
      <w:outlineLvl w:val="7"/>
    </w:pPr>
    <w:rPr>
      <w:rFonts w:ascii="Cambria" w:hAnsi="Cambria"/>
    </w:rPr>
  </w:style>
  <w:style w:type="paragraph" w:customStyle="1" w:styleId="203">
    <w:name w:val="标题 91"/>
    <w:basedOn w:val="1"/>
    <w:next w:val="1"/>
    <w:link w:val="215"/>
    <w:qFormat/>
    <w:uiPriority w:val="0"/>
    <w:pPr>
      <w:keepNext/>
      <w:keepLines/>
      <w:spacing w:before="240" w:after="64" w:line="320" w:lineRule="auto"/>
      <w:outlineLvl w:val="8"/>
    </w:pPr>
    <w:rPr>
      <w:rFonts w:ascii="Cambria" w:hAnsi="Cambria"/>
      <w:szCs w:val="21"/>
    </w:rPr>
  </w:style>
  <w:style w:type="character" w:customStyle="1" w:styleId="204">
    <w:name w:val="默认段落字体1"/>
    <w:semiHidden/>
    <w:qFormat/>
    <w:uiPriority w:val="0"/>
  </w:style>
  <w:style w:type="table" w:customStyle="1" w:styleId="205">
    <w:name w:val="普通表格1"/>
    <w:semiHidden/>
    <w:qFormat/>
    <w:uiPriority w:val="0"/>
    <w:tblPr>
      <w:tblCellMar>
        <w:top w:w="0" w:type="dxa"/>
        <w:left w:w="0" w:type="dxa"/>
        <w:bottom w:w="0" w:type="dxa"/>
        <w:right w:w="0"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206">
    <w:name w:val="正文文本 Char"/>
    <w:link w:val="59"/>
    <w:qFormat/>
    <w:uiPriority w:val="0"/>
    <w:rPr>
      <w:sz w:val="21"/>
      <w:szCs w:val="24"/>
    </w:rPr>
  </w:style>
  <w:style w:type="character" w:customStyle="1" w:styleId="207">
    <w:name w:val="标题 1 Char"/>
    <w:link w:val="193"/>
    <w:qFormat/>
    <w:uiPriority w:val="0"/>
    <w:rPr>
      <w:rFonts w:ascii="Times New Roman" w:hAnsi="Times New Roman" w:eastAsia="宋体"/>
      <w:b/>
      <w:bCs/>
      <w:color w:val="000000"/>
      <w:sz w:val="36"/>
      <w:szCs w:val="44"/>
    </w:rPr>
  </w:style>
  <w:style w:type="character" w:customStyle="1" w:styleId="208">
    <w:name w:val="标题 2 Char"/>
    <w:basedOn w:val="204"/>
    <w:link w:val="197"/>
    <w:qFormat/>
    <w:uiPriority w:val="9"/>
    <w:rPr>
      <w:rFonts w:ascii="Cambria" w:hAnsi="Cambria" w:eastAsia="宋体"/>
      <w:b/>
      <w:bCs/>
      <w:sz w:val="28"/>
      <w:szCs w:val="32"/>
    </w:rPr>
  </w:style>
  <w:style w:type="character" w:customStyle="1" w:styleId="209">
    <w:name w:val="标题 3 Char1"/>
    <w:link w:val="198"/>
    <w:qFormat/>
    <w:uiPriority w:val="0"/>
    <w:rPr>
      <w:rFonts w:eastAsia="宋体"/>
      <w:bCs/>
      <w:sz w:val="24"/>
      <w:szCs w:val="32"/>
    </w:rPr>
  </w:style>
  <w:style w:type="character" w:customStyle="1" w:styleId="210">
    <w:name w:val="标题 4 Char"/>
    <w:basedOn w:val="204"/>
    <w:link w:val="195"/>
    <w:qFormat/>
    <w:uiPriority w:val="0"/>
    <w:rPr>
      <w:rFonts w:ascii="Cambria" w:hAnsi="Cambria"/>
      <w:b/>
      <w:bCs/>
      <w:sz w:val="28"/>
      <w:szCs w:val="28"/>
    </w:rPr>
  </w:style>
  <w:style w:type="character" w:customStyle="1" w:styleId="211">
    <w:name w:val="标题 5 Char"/>
    <w:basedOn w:val="204"/>
    <w:link w:val="199"/>
    <w:qFormat/>
    <w:uiPriority w:val="0"/>
    <w:rPr>
      <w:b/>
      <w:bCs/>
      <w:sz w:val="28"/>
      <w:szCs w:val="28"/>
    </w:rPr>
  </w:style>
  <w:style w:type="character" w:customStyle="1" w:styleId="212">
    <w:name w:val="标题 6 Char"/>
    <w:basedOn w:val="204"/>
    <w:link w:val="200"/>
    <w:qFormat/>
    <w:uiPriority w:val="0"/>
    <w:rPr>
      <w:rFonts w:ascii="Cambria" w:hAnsi="Cambria"/>
      <w:b/>
      <w:bCs/>
      <w:sz w:val="24"/>
      <w:szCs w:val="24"/>
    </w:rPr>
  </w:style>
  <w:style w:type="character" w:customStyle="1" w:styleId="213">
    <w:name w:val="标题 7 Char"/>
    <w:basedOn w:val="204"/>
    <w:link w:val="201"/>
    <w:qFormat/>
    <w:uiPriority w:val="0"/>
    <w:rPr>
      <w:b/>
      <w:bCs/>
      <w:sz w:val="24"/>
      <w:szCs w:val="24"/>
    </w:rPr>
  </w:style>
  <w:style w:type="character" w:customStyle="1" w:styleId="214">
    <w:name w:val="标题 8 Char"/>
    <w:basedOn w:val="204"/>
    <w:link w:val="202"/>
    <w:qFormat/>
    <w:uiPriority w:val="0"/>
    <w:rPr>
      <w:rFonts w:ascii="Cambria" w:hAnsi="Cambria"/>
      <w:sz w:val="24"/>
      <w:szCs w:val="24"/>
    </w:rPr>
  </w:style>
  <w:style w:type="character" w:customStyle="1" w:styleId="215">
    <w:name w:val="标题 9 Char"/>
    <w:basedOn w:val="204"/>
    <w:link w:val="203"/>
    <w:qFormat/>
    <w:uiPriority w:val="0"/>
    <w:rPr>
      <w:rFonts w:ascii="Cambria" w:hAnsi="Cambria"/>
      <w:sz w:val="21"/>
      <w:szCs w:val="21"/>
    </w:rPr>
  </w:style>
  <w:style w:type="paragraph" w:customStyle="1" w:styleId="216">
    <w:name w:val="目录 71"/>
    <w:basedOn w:val="1"/>
    <w:next w:val="1"/>
    <w:qFormat/>
    <w:uiPriority w:val="39"/>
    <w:pPr>
      <w:ind w:left="2520"/>
    </w:pPr>
    <w:rPr>
      <w:rFonts w:ascii="Calibri" w:hAnsi="Calibri"/>
      <w:szCs w:val="22"/>
    </w:rPr>
  </w:style>
  <w:style w:type="character" w:customStyle="1" w:styleId="217">
    <w:name w:val="正文缩进 Char"/>
    <w:link w:val="196"/>
    <w:qFormat/>
    <w:uiPriority w:val="0"/>
    <w:rPr>
      <w:sz w:val="21"/>
    </w:rPr>
  </w:style>
  <w:style w:type="paragraph" w:customStyle="1" w:styleId="218">
    <w:name w:val="题注1"/>
    <w:basedOn w:val="1"/>
    <w:next w:val="1"/>
    <w:qFormat/>
    <w:uiPriority w:val="0"/>
    <w:rPr>
      <w:rFonts w:ascii="Cambria" w:hAnsi="Cambria" w:eastAsia="黑体"/>
      <w:sz w:val="20"/>
      <w:szCs w:val="20"/>
    </w:rPr>
  </w:style>
  <w:style w:type="paragraph" w:customStyle="1" w:styleId="219">
    <w:name w:val="文档结构图1"/>
    <w:basedOn w:val="1"/>
    <w:link w:val="220"/>
    <w:qFormat/>
    <w:uiPriority w:val="0"/>
    <w:pPr>
      <w:shd w:val="clear" w:color="auto" w:fill="000080"/>
    </w:pPr>
    <w:rPr>
      <w:sz w:val="21"/>
    </w:rPr>
  </w:style>
  <w:style w:type="character" w:customStyle="1" w:styleId="220">
    <w:name w:val="文档结构图 Char"/>
    <w:link w:val="219"/>
    <w:qFormat/>
    <w:uiPriority w:val="0"/>
    <w:rPr>
      <w:sz w:val="21"/>
      <w:szCs w:val="24"/>
      <w:shd w:val="clear" w:color="auto" w:fill="000080"/>
    </w:rPr>
  </w:style>
  <w:style w:type="paragraph" w:customStyle="1" w:styleId="221">
    <w:name w:val="批注文字1"/>
    <w:basedOn w:val="1"/>
    <w:link w:val="222"/>
    <w:qFormat/>
    <w:uiPriority w:val="0"/>
    <w:pPr>
      <w:jc w:val="left"/>
    </w:pPr>
    <w:rPr>
      <w:sz w:val="21"/>
    </w:rPr>
  </w:style>
  <w:style w:type="character" w:customStyle="1" w:styleId="222">
    <w:name w:val="批注文字 Char"/>
    <w:link w:val="221"/>
    <w:qFormat/>
    <w:uiPriority w:val="0"/>
    <w:rPr>
      <w:sz w:val="21"/>
      <w:szCs w:val="24"/>
    </w:rPr>
  </w:style>
  <w:style w:type="paragraph" w:customStyle="1" w:styleId="223">
    <w:name w:val="正文文本 31"/>
    <w:basedOn w:val="1"/>
    <w:link w:val="224"/>
    <w:qFormat/>
    <w:uiPriority w:val="99"/>
    <w:pPr>
      <w:spacing w:after="120"/>
    </w:pPr>
    <w:rPr>
      <w:sz w:val="16"/>
      <w:szCs w:val="16"/>
    </w:rPr>
  </w:style>
  <w:style w:type="character" w:customStyle="1" w:styleId="224">
    <w:name w:val="正文文本 3 Char"/>
    <w:link w:val="223"/>
    <w:qFormat/>
    <w:uiPriority w:val="99"/>
    <w:rPr>
      <w:sz w:val="16"/>
      <w:szCs w:val="16"/>
    </w:rPr>
  </w:style>
  <w:style w:type="paragraph" w:customStyle="1" w:styleId="225">
    <w:name w:val="正文文本缩进1"/>
    <w:basedOn w:val="1"/>
    <w:link w:val="226"/>
    <w:qFormat/>
    <w:uiPriority w:val="0"/>
    <w:pPr>
      <w:spacing w:line="200" w:lineRule="exact"/>
      <w:ind w:firstLine="301"/>
    </w:pPr>
    <w:rPr>
      <w:rFonts w:ascii="宋体" w:hAnsi="Courier New"/>
      <w:spacing w:val="-4"/>
      <w:sz w:val="18"/>
      <w:szCs w:val="20"/>
    </w:rPr>
  </w:style>
  <w:style w:type="character" w:customStyle="1" w:styleId="226">
    <w:name w:val="正文文本缩进 Char"/>
    <w:link w:val="225"/>
    <w:qFormat/>
    <w:uiPriority w:val="0"/>
    <w:rPr>
      <w:rFonts w:ascii="宋体" w:hAnsi="Courier New"/>
      <w:spacing w:val="-4"/>
      <w:sz w:val="18"/>
    </w:rPr>
  </w:style>
  <w:style w:type="paragraph" w:customStyle="1" w:styleId="227">
    <w:name w:val="索引 41"/>
    <w:basedOn w:val="1"/>
    <w:next w:val="1"/>
    <w:qFormat/>
    <w:uiPriority w:val="0"/>
    <w:pPr>
      <w:ind w:left="600"/>
    </w:pPr>
  </w:style>
  <w:style w:type="paragraph" w:customStyle="1" w:styleId="228">
    <w:name w:val="目录 51"/>
    <w:basedOn w:val="1"/>
    <w:next w:val="1"/>
    <w:qFormat/>
    <w:uiPriority w:val="39"/>
    <w:pPr>
      <w:tabs>
        <w:tab w:val="right" w:leader="dot" w:pos="8296"/>
      </w:tabs>
      <w:ind w:left="1050"/>
    </w:pPr>
    <w:rPr>
      <w:rFonts w:ascii="Calibri" w:hAnsi="Calibri"/>
      <w:szCs w:val="22"/>
    </w:rPr>
  </w:style>
  <w:style w:type="paragraph" w:customStyle="1" w:styleId="229">
    <w:name w:val="目录 31"/>
    <w:basedOn w:val="1"/>
    <w:next w:val="1"/>
    <w:qFormat/>
    <w:uiPriority w:val="39"/>
    <w:pPr>
      <w:ind w:left="840"/>
    </w:pPr>
    <w:rPr>
      <w:rFonts w:ascii="Calibri" w:hAnsi="Calibri"/>
      <w:szCs w:val="22"/>
    </w:rPr>
  </w:style>
  <w:style w:type="paragraph" w:customStyle="1" w:styleId="230">
    <w:name w:val="纯文本11"/>
    <w:basedOn w:val="1"/>
    <w:link w:val="231"/>
    <w:qFormat/>
    <w:uiPriority w:val="0"/>
    <w:rPr>
      <w:rFonts w:ascii="宋体" w:hAnsi="Courier New"/>
      <w:sz w:val="21"/>
      <w:szCs w:val="20"/>
    </w:rPr>
  </w:style>
  <w:style w:type="character" w:customStyle="1" w:styleId="231">
    <w:name w:val="纯文本 Char"/>
    <w:link w:val="230"/>
    <w:qFormat/>
    <w:uiPriority w:val="0"/>
    <w:rPr>
      <w:rFonts w:ascii="宋体" w:hAnsi="Courier New" w:eastAsia="宋体"/>
      <w:sz w:val="21"/>
      <w:lang w:val="en-US" w:eastAsia="zh-CN" w:bidi="ar-SA"/>
    </w:rPr>
  </w:style>
  <w:style w:type="paragraph" w:customStyle="1" w:styleId="232">
    <w:name w:val="目录 81"/>
    <w:basedOn w:val="1"/>
    <w:next w:val="1"/>
    <w:qFormat/>
    <w:uiPriority w:val="39"/>
    <w:pPr>
      <w:ind w:left="2940"/>
    </w:pPr>
    <w:rPr>
      <w:rFonts w:ascii="Calibri" w:hAnsi="Calibri"/>
      <w:szCs w:val="22"/>
    </w:rPr>
  </w:style>
  <w:style w:type="paragraph" w:customStyle="1" w:styleId="233">
    <w:name w:val="日期1"/>
    <w:basedOn w:val="1"/>
    <w:next w:val="1"/>
    <w:link w:val="234"/>
    <w:qFormat/>
    <w:uiPriority w:val="0"/>
    <w:pPr>
      <w:ind w:left="100"/>
    </w:pPr>
  </w:style>
  <w:style w:type="character" w:customStyle="1" w:styleId="234">
    <w:name w:val="日期 Char"/>
    <w:link w:val="233"/>
    <w:qFormat/>
    <w:uiPriority w:val="0"/>
    <w:rPr>
      <w:sz w:val="24"/>
      <w:szCs w:val="24"/>
    </w:rPr>
  </w:style>
  <w:style w:type="paragraph" w:customStyle="1" w:styleId="235">
    <w:name w:val="正文文本缩进 21"/>
    <w:basedOn w:val="1"/>
    <w:link w:val="236"/>
    <w:qFormat/>
    <w:uiPriority w:val="0"/>
    <w:pPr>
      <w:ind w:firstLine="412"/>
    </w:pPr>
    <w:rPr>
      <w:sz w:val="21"/>
    </w:rPr>
  </w:style>
  <w:style w:type="character" w:customStyle="1" w:styleId="236">
    <w:name w:val="正文文本缩进 2 Char"/>
    <w:link w:val="235"/>
    <w:qFormat/>
    <w:uiPriority w:val="0"/>
    <w:rPr>
      <w:sz w:val="21"/>
      <w:szCs w:val="24"/>
    </w:rPr>
  </w:style>
  <w:style w:type="paragraph" w:customStyle="1" w:styleId="237">
    <w:name w:val="批注框文本1"/>
    <w:basedOn w:val="1"/>
    <w:link w:val="238"/>
    <w:qFormat/>
    <w:uiPriority w:val="0"/>
    <w:rPr>
      <w:sz w:val="18"/>
      <w:szCs w:val="18"/>
    </w:rPr>
  </w:style>
  <w:style w:type="character" w:customStyle="1" w:styleId="238">
    <w:name w:val="批注框文本 Char"/>
    <w:link w:val="237"/>
    <w:qFormat/>
    <w:uiPriority w:val="0"/>
    <w:rPr>
      <w:sz w:val="18"/>
      <w:szCs w:val="18"/>
    </w:rPr>
  </w:style>
  <w:style w:type="paragraph" w:customStyle="1" w:styleId="239">
    <w:name w:val="页脚1"/>
    <w:basedOn w:val="1"/>
    <w:link w:val="240"/>
    <w:qFormat/>
    <w:uiPriority w:val="0"/>
    <w:pPr>
      <w:tabs>
        <w:tab w:val="center" w:pos="4153"/>
        <w:tab w:val="right" w:pos="8306"/>
      </w:tabs>
      <w:jc w:val="left"/>
    </w:pPr>
    <w:rPr>
      <w:sz w:val="18"/>
      <w:szCs w:val="18"/>
    </w:rPr>
  </w:style>
  <w:style w:type="character" w:customStyle="1" w:styleId="240">
    <w:name w:val="页脚 Char"/>
    <w:link w:val="239"/>
    <w:qFormat/>
    <w:uiPriority w:val="0"/>
    <w:rPr>
      <w:sz w:val="18"/>
      <w:szCs w:val="18"/>
    </w:rPr>
  </w:style>
  <w:style w:type="paragraph" w:customStyle="1" w:styleId="241">
    <w:name w:val="页眉1"/>
    <w:basedOn w:val="1"/>
    <w:next w:val="242"/>
    <w:link w:val="243"/>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42">
    <w:name w:val="Quote1"/>
    <w:basedOn w:val="1"/>
    <w:next w:val="1"/>
    <w:qFormat/>
    <w:uiPriority w:val="99"/>
    <w:pPr>
      <w:widowControl/>
      <w:spacing w:before="200" w:after="160"/>
      <w:ind w:left="864" w:right="864"/>
      <w:jc w:val="center"/>
    </w:pPr>
    <w:rPr>
      <w:rFonts w:ascii="宋体"/>
      <w:i/>
      <w:color w:val="404040"/>
    </w:rPr>
  </w:style>
  <w:style w:type="character" w:customStyle="1" w:styleId="243">
    <w:name w:val="页眉 Char"/>
    <w:link w:val="241"/>
    <w:qFormat/>
    <w:uiPriority w:val="0"/>
    <w:rPr>
      <w:rFonts w:ascii="宋体" w:hAnsi="Courier New"/>
      <w:sz w:val="18"/>
    </w:rPr>
  </w:style>
  <w:style w:type="paragraph" w:customStyle="1" w:styleId="244">
    <w:name w:val="目录 11"/>
    <w:basedOn w:val="1"/>
    <w:next w:val="1"/>
    <w:qFormat/>
    <w:uiPriority w:val="39"/>
    <w:pPr>
      <w:tabs>
        <w:tab w:val="right" w:leader="dot" w:pos="9185"/>
      </w:tabs>
    </w:pPr>
    <w:rPr>
      <w:b/>
      <w:szCs w:val="20"/>
    </w:rPr>
  </w:style>
  <w:style w:type="paragraph" w:customStyle="1" w:styleId="245">
    <w:name w:val="目录 41"/>
    <w:basedOn w:val="1"/>
    <w:next w:val="1"/>
    <w:qFormat/>
    <w:uiPriority w:val="39"/>
    <w:pPr>
      <w:tabs>
        <w:tab w:val="left" w:pos="1890"/>
        <w:tab w:val="right" w:leader="dot" w:pos="8296"/>
      </w:tabs>
      <w:ind w:left="630"/>
    </w:pPr>
    <w:rPr>
      <w:rFonts w:ascii="Calibri" w:hAnsi="Calibri"/>
      <w:szCs w:val="22"/>
    </w:rPr>
  </w:style>
  <w:style w:type="paragraph" w:customStyle="1" w:styleId="246">
    <w:name w:val="副标题1"/>
    <w:basedOn w:val="1"/>
    <w:next w:val="1"/>
    <w:link w:val="247"/>
    <w:qFormat/>
    <w:uiPriority w:val="0"/>
    <w:pPr>
      <w:spacing w:before="240" w:after="60" w:line="312" w:lineRule="auto"/>
      <w:jc w:val="center"/>
      <w:outlineLvl w:val="1"/>
    </w:pPr>
    <w:rPr>
      <w:rFonts w:ascii="Cambria" w:hAnsi="Cambria"/>
      <w:b/>
      <w:sz w:val="32"/>
      <w:szCs w:val="20"/>
    </w:rPr>
  </w:style>
  <w:style w:type="character" w:customStyle="1" w:styleId="247">
    <w:name w:val="副标题 Char"/>
    <w:basedOn w:val="204"/>
    <w:link w:val="246"/>
    <w:qFormat/>
    <w:uiPriority w:val="0"/>
    <w:rPr>
      <w:rFonts w:ascii="Cambria" w:hAnsi="Cambria"/>
      <w:b/>
      <w:sz w:val="32"/>
    </w:rPr>
  </w:style>
  <w:style w:type="paragraph" w:customStyle="1" w:styleId="248">
    <w:name w:val="脚注文本1"/>
    <w:basedOn w:val="1"/>
    <w:link w:val="249"/>
    <w:qFormat/>
    <w:uiPriority w:val="0"/>
    <w:pPr>
      <w:spacing w:line="312" w:lineRule="atLeast"/>
      <w:jc w:val="left"/>
    </w:pPr>
    <w:rPr>
      <w:sz w:val="18"/>
      <w:szCs w:val="20"/>
    </w:rPr>
  </w:style>
  <w:style w:type="character" w:customStyle="1" w:styleId="249">
    <w:name w:val="脚注文本 Char"/>
    <w:link w:val="248"/>
    <w:qFormat/>
    <w:uiPriority w:val="0"/>
    <w:rPr>
      <w:sz w:val="18"/>
    </w:rPr>
  </w:style>
  <w:style w:type="paragraph" w:customStyle="1" w:styleId="250">
    <w:name w:val="目录 61"/>
    <w:basedOn w:val="1"/>
    <w:next w:val="1"/>
    <w:qFormat/>
    <w:uiPriority w:val="39"/>
    <w:pPr>
      <w:ind w:left="2100"/>
    </w:pPr>
    <w:rPr>
      <w:rFonts w:ascii="Calibri" w:hAnsi="Calibri"/>
      <w:szCs w:val="22"/>
    </w:rPr>
  </w:style>
  <w:style w:type="paragraph" w:customStyle="1" w:styleId="251">
    <w:name w:val="正文文本缩进 31"/>
    <w:basedOn w:val="1"/>
    <w:link w:val="252"/>
    <w:qFormat/>
    <w:uiPriority w:val="0"/>
    <w:pPr>
      <w:spacing w:line="400" w:lineRule="exact"/>
      <w:ind w:left="360"/>
    </w:pPr>
  </w:style>
  <w:style w:type="character" w:customStyle="1" w:styleId="252">
    <w:name w:val="正文文本缩进 3 Char"/>
    <w:link w:val="251"/>
    <w:qFormat/>
    <w:uiPriority w:val="0"/>
    <w:rPr>
      <w:rFonts w:eastAsia="宋体"/>
      <w:sz w:val="24"/>
      <w:szCs w:val="24"/>
      <w:lang w:val="en-US" w:eastAsia="zh-CN" w:bidi="ar-SA"/>
    </w:rPr>
  </w:style>
  <w:style w:type="paragraph" w:customStyle="1" w:styleId="253">
    <w:name w:val="目录 21"/>
    <w:basedOn w:val="1"/>
    <w:next w:val="1"/>
    <w:qFormat/>
    <w:uiPriority w:val="39"/>
    <w:pPr>
      <w:ind w:left="420"/>
    </w:pPr>
  </w:style>
  <w:style w:type="paragraph" w:customStyle="1" w:styleId="254">
    <w:name w:val="目录 91"/>
    <w:basedOn w:val="1"/>
    <w:next w:val="1"/>
    <w:qFormat/>
    <w:uiPriority w:val="39"/>
    <w:pPr>
      <w:ind w:left="3360"/>
    </w:pPr>
    <w:rPr>
      <w:rFonts w:ascii="Calibri" w:hAnsi="Calibri"/>
      <w:szCs w:val="22"/>
    </w:rPr>
  </w:style>
  <w:style w:type="paragraph" w:customStyle="1" w:styleId="255">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rPr>
  </w:style>
  <w:style w:type="paragraph" w:customStyle="1" w:styleId="256">
    <w:name w:val="HTML 预设格式1"/>
    <w:basedOn w:val="1"/>
    <w:link w:val="25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57">
    <w:name w:val="HTML 预设格式 Char"/>
    <w:link w:val="256"/>
    <w:qFormat/>
    <w:uiPriority w:val="99"/>
    <w:rPr>
      <w:rFonts w:ascii="宋体" w:hAnsi="宋体" w:cs="宋体"/>
      <w:sz w:val="24"/>
      <w:szCs w:val="24"/>
    </w:rPr>
  </w:style>
  <w:style w:type="paragraph" w:customStyle="1" w:styleId="258">
    <w:name w:val="普通(网站)1"/>
    <w:basedOn w:val="1"/>
    <w:qFormat/>
    <w:uiPriority w:val="0"/>
    <w:pPr>
      <w:widowControl/>
      <w:spacing w:before="100" w:beforeAutospacing="1" w:after="100" w:afterAutospacing="1"/>
      <w:jc w:val="left"/>
    </w:pPr>
    <w:rPr>
      <w:rFonts w:ascii="宋体" w:hAnsi="宋体" w:cs="宋体"/>
    </w:rPr>
  </w:style>
  <w:style w:type="paragraph" w:customStyle="1" w:styleId="259">
    <w:name w:val="标题1"/>
    <w:basedOn w:val="1"/>
    <w:next w:val="1"/>
    <w:link w:val="260"/>
    <w:qFormat/>
    <w:uiPriority w:val="0"/>
    <w:pPr>
      <w:spacing w:before="240" w:after="60"/>
      <w:jc w:val="center"/>
      <w:outlineLvl w:val="0"/>
    </w:pPr>
    <w:rPr>
      <w:rFonts w:ascii="Cambria" w:hAnsi="Cambria"/>
      <w:b/>
      <w:bCs/>
      <w:sz w:val="32"/>
      <w:szCs w:val="32"/>
    </w:rPr>
  </w:style>
  <w:style w:type="character" w:customStyle="1" w:styleId="260">
    <w:name w:val="标题 Char"/>
    <w:link w:val="259"/>
    <w:qFormat/>
    <w:uiPriority w:val="0"/>
    <w:rPr>
      <w:rFonts w:ascii="Cambria" w:hAnsi="Cambria" w:cs="Times New Roman"/>
      <w:b/>
      <w:bCs/>
      <w:sz w:val="32"/>
      <w:szCs w:val="32"/>
    </w:rPr>
  </w:style>
  <w:style w:type="paragraph" w:customStyle="1" w:styleId="261">
    <w:name w:val="批注主题1"/>
    <w:basedOn w:val="221"/>
    <w:next w:val="221"/>
    <w:link w:val="262"/>
    <w:qFormat/>
    <w:uiPriority w:val="0"/>
    <w:rPr>
      <w:b/>
      <w:bCs/>
    </w:rPr>
  </w:style>
  <w:style w:type="character" w:customStyle="1" w:styleId="262">
    <w:name w:val="批注主题 Char"/>
    <w:link w:val="261"/>
    <w:qFormat/>
    <w:uiPriority w:val="0"/>
    <w:rPr>
      <w:b/>
      <w:bCs/>
      <w:sz w:val="21"/>
      <w:szCs w:val="24"/>
    </w:rPr>
  </w:style>
  <w:style w:type="paragraph" w:customStyle="1" w:styleId="263">
    <w:name w:val="正文首行缩进 21"/>
    <w:basedOn w:val="225"/>
    <w:qFormat/>
    <w:uiPriority w:val="0"/>
    <w:pPr>
      <w:spacing w:after="120" w:line="240" w:lineRule="auto"/>
      <w:ind w:left="420" w:firstLine="420"/>
    </w:pPr>
    <w:rPr>
      <w:rFonts w:cs="宋体"/>
      <w:sz w:val="21"/>
      <w:szCs w:val="21"/>
    </w:rPr>
  </w:style>
  <w:style w:type="table" w:customStyle="1" w:styleId="264">
    <w:name w:val="网格型1"/>
    <w:basedOn w:val="205"/>
    <w:qFormat/>
    <w:uiPriority w:val="0"/>
    <w:pPr>
      <w:widowControl w:val="0"/>
      <w:jc w:val="both"/>
    </w:pPr>
    <w:tblPr>
      <w:tblCellMar>
        <w:top w:w="0" w:type="dxa"/>
        <w:left w:w="0" w:type="dxa"/>
        <w:bottom w:w="0" w:type="dxa"/>
        <w:right w:w="0" w:type="dxa"/>
      </w:tblCellMar>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 w:type="character" w:customStyle="1" w:styleId="265">
    <w:name w:val="要点1"/>
    <w:basedOn w:val="204"/>
    <w:qFormat/>
    <w:uiPriority w:val="0"/>
    <w:rPr>
      <w:rFonts w:cs="Times New Roman"/>
      <w:b/>
    </w:rPr>
  </w:style>
  <w:style w:type="character" w:customStyle="1" w:styleId="266">
    <w:name w:val="页码1"/>
    <w:basedOn w:val="204"/>
    <w:qFormat/>
    <w:uiPriority w:val="0"/>
  </w:style>
  <w:style w:type="character" w:customStyle="1" w:styleId="267">
    <w:name w:val="已访问的超链接1"/>
    <w:basedOn w:val="204"/>
    <w:qFormat/>
    <w:uiPriority w:val="99"/>
    <w:rPr>
      <w:color w:val="800080"/>
      <w:u w:val="none"/>
    </w:rPr>
  </w:style>
  <w:style w:type="character" w:customStyle="1" w:styleId="268">
    <w:name w:val="强调1"/>
    <w:qFormat/>
    <w:uiPriority w:val="0"/>
    <w:rPr>
      <w:rFonts w:ascii="Times New Roman" w:hAnsi="Times New Roman" w:cs="Times New Roman"/>
      <w:i/>
    </w:rPr>
  </w:style>
  <w:style w:type="character" w:customStyle="1" w:styleId="269">
    <w:name w:val="HTML 定义1"/>
    <w:basedOn w:val="204"/>
    <w:qFormat/>
    <w:uiPriority w:val="0"/>
  </w:style>
  <w:style w:type="character" w:customStyle="1" w:styleId="270">
    <w:name w:val="HTML 打字机1"/>
    <w:basedOn w:val="204"/>
    <w:qFormat/>
    <w:uiPriority w:val="0"/>
    <w:rPr>
      <w:rFonts w:ascii="monospace" w:hAnsi="monospace" w:eastAsia="monospace" w:cs="monospace"/>
      <w:sz w:val="20"/>
    </w:rPr>
  </w:style>
  <w:style w:type="character" w:customStyle="1" w:styleId="271">
    <w:name w:val="HTML 缩写1"/>
    <w:basedOn w:val="204"/>
    <w:qFormat/>
    <w:uiPriority w:val="0"/>
  </w:style>
  <w:style w:type="character" w:customStyle="1" w:styleId="272">
    <w:name w:val="HTML 变量1"/>
    <w:basedOn w:val="204"/>
    <w:qFormat/>
    <w:uiPriority w:val="0"/>
  </w:style>
  <w:style w:type="character" w:customStyle="1" w:styleId="273">
    <w:name w:val="超链接1"/>
    <w:basedOn w:val="204"/>
    <w:qFormat/>
    <w:uiPriority w:val="99"/>
    <w:rPr>
      <w:color w:val="0000FF"/>
      <w:u w:val="none"/>
    </w:rPr>
  </w:style>
  <w:style w:type="character" w:customStyle="1" w:styleId="274">
    <w:name w:val="HTML 代码1"/>
    <w:basedOn w:val="204"/>
    <w:qFormat/>
    <w:uiPriority w:val="0"/>
    <w:rPr>
      <w:rFonts w:ascii="monospace" w:hAnsi="monospace" w:eastAsia="monospace" w:cs="monospace"/>
      <w:sz w:val="20"/>
    </w:rPr>
  </w:style>
  <w:style w:type="character" w:customStyle="1" w:styleId="275">
    <w:name w:val="批注引用1"/>
    <w:qFormat/>
    <w:uiPriority w:val="0"/>
    <w:rPr>
      <w:sz w:val="21"/>
      <w:szCs w:val="21"/>
    </w:rPr>
  </w:style>
  <w:style w:type="character" w:customStyle="1" w:styleId="276">
    <w:name w:val="HTML 引文1"/>
    <w:basedOn w:val="204"/>
    <w:qFormat/>
    <w:uiPriority w:val="0"/>
  </w:style>
  <w:style w:type="character" w:customStyle="1" w:styleId="277">
    <w:name w:val="HTML 键盘1"/>
    <w:basedOn w:val="204"/>
    <w:qFormat/>
    <w:uiPriority w:val="0"/>
    <w:rPr>
      <w:rFonts w:ascii="monospace" w:hAnsi="monospace" w:eastAsia="monospace" w:cs="monospace"/>
      <w:sz w:val="20"/>
    </w:rPr>
  </w:style>
  <w:style w:type="character" w:customStyle="1" w:styleId="278">
    <w:name w:val="HTML 样本1"/>
    <w:basedOn w:val="204"/>
    <w:qFormat/>
    <w:uiPriority w:val="0"/>
    <w:rPr>
      <w:rFonts w:ascii="monospace" w:hAnsi="monospace" w:eastAsia="monospace" w:cs="monospace"/>
    </w:rPr>
  </w:style>
  <w:style w:type="paragraph" w:customStyle="1" w:styleId="279">
    <w:name w:val="首行缩进"/>
    <w:basedOn w:val="1"/>
    <w:qFormat/>
    <w:uiPriority w:val="0"/>
    <w:pPr>
      <w:ind w:firstLine="480"/>
    </w:pPr>
    <w:rPr>
      <w:lang w:val="zh-CN"/>
    </w:rPr>
  </w:style>
  <w:style w:type="paragraph" w:customStyle="1" w:styleId="280">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281">
    <w:name w:val="表格标题 (2) + MingLiU"/>
    <w:basedOn w:val="282"/>
    <w:qFormat/>
    <w:uiPriority w:val="99"/>
    <w:rPr>
      <w:rFonts w:ascii="MingLiU" w:eastAsia="MingLiU" w:cs="MingLiU"/>
      <w:spacing w:val="10"/>
      <w:sz w:val="26"/>
      <w:szCs w:val="26"/>
      <w:shd w:val="clear" w:color="auto" w:fill="FFFFFF"/>
    </w:rPr>
  </w:style>
  <w:style w:type="character" w:customStyle="1" w:styleId="282">
    <w:name w:val="表格标题 (2)_"/>
    <w:basedOn w:val="204"/>
    <w:link w:val="283"/>
    <w:qFormat/>
    <w:uiPriority w:val="99"/>
    <w:rPr>
      <w:rFonts w:ascii="MS Mincho" w:eastAsia="MS Mincho" w:cs="MS Mincho"/>
      <w:sz w:val="27"/>
      <w:szCs w:val="27"/>
      <w:shd w:val="clear" w:color="auto" w:fill="FFFFFF"/>
    </w:rPr>
  </w:style>
  <w:style w:type="paragraph" w:customStyle="1" w:styleId="283">
    <w:name w:val="表格标题 (2)"/>
    <w:basedOn w:val="1"/>
    <w:link w:val="282"/>
    <w:qFormat/>
    <w:uiPriority w:val="99"/>
    <w:pPr>
      <w:shd w:val="clear" w:color="auto" w:fill="FFFFFF"/>
      <w:spacing w:line="240" w:lineRule="atLeast"/>
      <w:jc w:val="left"/>
    </w:pPr>
    <w:rPr>
      <w:rFonts w:ascii="MS Mincho" w:eastAsia="MS Mincho" w:cs="MS Mincho"/>
      <w:sz w:val="27"/>
      <w:szCs w:val="27"/>
    </w:rPr>
  </w:style>
  <w:style w:type="character" w:customStyle="1" w:styleId="284">
    <w:name w:val="Footer Char"/>
    <w:qFormat/>
    <w:uiPriority w:val="0"/>
    <w:rPr>
      <w:rFonts w:eastAsia="宋体"/>
      <w:sz w:val="18"/>
      <w:szCs w:val="18"/>
      <w:lang w:val="en-US" w:eastAsia="zh-CN" w:bidi="ar-SA"/>
    </w:rPr>
  </w:style>
  <w:style w:type="character" w:customStyle="1" w:styleId="285">
    <w:name w:val="Balloon Text Char"/>
    <w:qFormat/>
    <w:uiPriority w:val="0"/>
    <w:rPr>
      <w:sz w:val="18"/>
      <w:lang w:bidi="ar-SA"/>
    </w:rPr>
  </w:style>
  <w:style w:type="character" w:customStyle="1" w:styleId="286">
    <w:name w:val="书籍标题1"/>
    <w:basedOn w:val="204"/>
    <w:qFormat/>
    <w:uiPriority w:val="0"/>
    <w:rPr>
      <w:b/>
      <w:smallCaps/>
      <w:spacing w:val="5"/>
    </w:rPr>
  </w:style>
  <w:style w:type="character" w:customStyle="1" w:styleId="287">
    <w:name w:val="Char Char6"/>
    <w:qFormat/>
    <w:uiPriority w:val="0"/>
    <w:rPr>
      <w:rFonts w:eastAsia="宋体"/>
      <w:b/>
      <w:bCs/>
      <w:sz w:val="32"/>
      <w:szCs w:val="44"/>
      <w:lang w:val="en-US" w:eastAsia="zh-CN" w:bidi="ar-SA"/>
    </w:rPr>
  </w:style>
  <w:style w:type="character" w:customStyle="1" w:styleId="288">
    <w:name w:val="脚注文本 Char1"/>
    <w:basedOn w:val="204"/>
    <w:qFormat/>
    <w:uiPriority w:val="0"/>
    <w:rPr>
      <w:sz w:val="18"/>
      <w:szCs w:val="18"/>
    </w:rPr>
  </w:style>
  <w:style w:type="character" w:customStyle="1" w:styleId="289">
    <w:name w:val="批注文字 Char2"/>
    <w:qFormat/>
    <w:uiPriority w:val="0"/>
    <w:rPr>
      <w:rFonts w:eastAsia="宋体"/>
      <w:sz w:val="21"/>
      <w:szCs w:val="24"/>
      <w:lang w:val="en-US" w:eastAsia="zh-CN" w:bidi="ar-SA"/>
    </w:rPr>
  </w:style>
  <w:style w:type="character" w:customStyle="1" w:styleId="290">
    <w:name w:val="明显引用 Char"/>
    <w:basedOn w:val="204"/>
    <w:link w:val="291"/>
    <w:qFormat/>
    <w:uiPriority w:val="0"/>
    <w:rPr>
      <w:b/>
      <w:i/>
      <w:color w:val="4F81BD"/>
      <w:sz w:val="24"/>
    </w:rPr>
  </w:style>
  <w:style w:type="paragraph" w:customStyle="1" w:styleId="291">
    <w:name w:val="明显引用1"/>
    <w:basedOn w:val="1"/>
    <w:next w:val="1"/>
    <w:link w:val="290"/>
    <w:qFormat/>
    <w:uiPriority w:val="0"/>
    <w:pPr>
      <w:pBdr>
        <w:bottom w:val="single" w:color="4F81BD" w:sz="4" w:space="4"/>
      </w:pBdr>
      <w:spacing w:before="200" w:after="280"/>
      <w:ind w:left="936" w:right="936"/>
    </w:pPr>
    <w:rPr>
      <w:b/>
      <w:i/>
      <w:color w:val="4F81BD"/>
      <w:szCs w:val="20"/>
    </w:rPr>
  </w:style>
  <w:style w:type="character" w:customStyle="1" w:styleId="292">
    <w:name w:val="hover2"/>
    <w:basedOn w:val="204"/>
    <w:qFormat/>
    <w:uiPriority w:val="0"/>
    <w:rPr>
      <w:color w:val="5FB878"/>
    </w:rPr>
  </w:style>
  <w:style w:type="character" w:customStyle="1" w:styleId="293">
    <w:name w:val="Heading 3 Char1"/>
    <w:qFormat/>
    <w:uiPriority w:val="0"/>
    <w:rPr>
      <w:rFonts w:eastAsia="宋体"/>
      <w:b/>
      <w:bCs/>
      <w:sz w:val="24"/>
      <w:szCs w:val="32"/>
      <w:lang w:val="en-US" w:eastAsia="zh-CN" w:bidi="ar-SA"/>
    </w:rPr>
  </w:style>
  <w:style w:type="character" w:customStyle="1" w:styleId="294">
    <w:name w:val="明显参考1"/>
    <w:basedOn w:val="204"/>
    <w:qFormat/>
    <w:uiPriority w:val="0"/>
    <w:rPr>
      <w:b/>
      <w:smallCaps/>
      <w:color w:val="C0504D"/>
      <w:spacing w:val="5"/>
      <w:u w:val="single"/>
    </w:rPr>
  </w:style>
  <w:style w:type="character" w:customStyle="1" w:styleId="295">
    <w:name w:val="标题 Char2"/>
    <w:qFormat/>
    <w:uiPriority w:val="0"/>
    <w:rPr>
      <w:rFonts w:ascii="Cambria" w:hAnsi="Cambria" w:eastAsia="宋体" w:cs="Times New Roman"/>
      <w:b/>
      <w:bCs/>
      <w:sz w:val="32"/>
      <w:szCs w:val="32"/>
    </w:rPr>
  </w:style>
  <w:style w:type="character" w:customStyle="1" w:styleId="296">
    <w:name w:val="Char Char19"/>
    <w:qFormat/>
    <w:uiPriority w:val="0"/>
    <w:rPr>
      <w:rFonts w:ascii="Arial" w:hAnsi="Arial" w:eastAsia="宋体" w:cs="Times New Roman"/>
      <w:b/>
      <w:bCs/>
      <w:szCs w:val="28"/>
    </w:rPr>
  </w:style>
  <w:style w:type="character" w:customStyle="1" w:styleId="297">
    <w:name w:val="页眉或页脚"/>
    <w:basedOn w:val="298"/>
    <w:qFormat/>
    <w:uiPriority w:val="99"/>
    <w:rPr>
      <w:rFonts w:ascii="MingLiU" w:eastAsia="MingLiU" w:cs="MingLiU"/>
      <w:spacing w:val="10"/>
      <w:sz w:val="26"/>
      <w:szCs w:val="26"/>
      <w:shd w:val="clear" w:color="auto" w:fill="FFFFFF"/>
    </w:rPr>
  </w:style>
  <w:style w:type="character" w:customStyle="1" w:styleId="298">
    <w:name w:val="页眉或页脚_"/>
    <w:basedOn w:val="204"/>
    <w:link w:val="299"/>
    <w:qFormat/>
    <w:uiPriority w:val="99"/>
    <w:rPr>
      <w:rFonts w:ascii="MingLiU" w:eastAsia="MingLiU" w:cs="MingLiU"/>
      <w:spacing w:val="10"/>
      <w:sz w:val="26"/>
      <w:szCs w:val="26"/>
      <w:shd w:val="clear" w:color="auto" w:fill="FFFFFF"/>
    </w:rPr>
  </w:style>
  <w:style w:type="paragraph" w:customStyle="1" w:styleId="299">
    <w:name w:val="页眉或页脚1"/>
    <w:basedOn w:val="1"/>
    <w:link w:val="298"/>
    <w:qFormat/>
    <w:uiPriority w:val="99"/>
    <w:pPr>
      <w:shd w:val="clear" w:color="auto" w:fill="FFFFFF"/>
      <w:spacing w:line="240" w:lineRule="atLeast"/>
      <w:jc w:val="left"/>
    </w:pPr>
    <w:rPr>
      <w:rFonts w:ascii="MingLiU" w:eastAsia="MingLiU" w:cs="MingLiU"/>
      <w:spacing w:val="10"/>
      <w:sz w:val="26"/>
      <w:szCs w:val="26"/>
    </w:rPr>
  </w:style>
  <w:style w:type="character" w:customStyle="1" w:styleId="300">
    <w:name w:val="Font Style60"/>
    <w:basedOn w:val="204"/>
    <w:qFormat/>
    <w:uiPriority w:val="0"/>
    <w:rPr>
      <w:rFonts w:ascii="宋体" w:hAnsi="宋体" w:cs="宋体"/>
      <w:b/>
      <w:bCs/>
      <w:sz w:val="26"/>
      <w:szCs w:val="26"/>
    </w:rPr>
  </w:style>
  <w:style w:type="character" w:customStyle="1" w:styleId="301">
    <w:name w:val="textcontents"/>
    <w:basedOn w:val="204"/>
    <w:qFormat/>
    <w:uiPriority w:val="0"/>
    <w:rPr>
      <w:rFonts w:cs="Times New Roman"/>
    </w:rPr>
  </w:style>
  <w:style w:type="character" w:customStyle="1" w:styleId="302">
    <w:name w:val="Heading 1 Char"/>
    <w:qFormat/>
    <w:uiPriority w:val="0"/>
    <w:rPr>
      <w:rFonts w:eastAsia="宋体"/>
      <w:b/>
      <w:bCs/>
      <w:sz w:val="32"/>
      <w:szCs w:val="44"/>
      <w:lang w:val="en-US" w:eastAsia="zh-CN" w:bidi="ar-SA"/>
    </w:rPr>
  </w:style>
  <w:style w:type="character" w:customStyle="1" w:styleId="303">
    <w:name w:val="标题 3 Char"/>
    <w:qFormat/>
    <w:uiPriority w:val="0"/>
    <w:rPr>
      <w:b/>
      <w:bCs/>
      <w:sz w:val="32"/>
      <w:szCs w:val="32"/>
    </w:rPr>
  </w:style>
  <w:style w:type="character" w:customStyle="1" w:styleId="304">
    <w:name w:val="Heading 5 Char"/>
    <w:qFormat/>
    <w:uiPriority w:val="0"/>
    <w:rPr>
      <w:rFonts w:eastAsia="宋体"/>
      <w:b/>
      <w:bCs/>
      <w:sz w:val="28"/>
      <w:szCs w:val="28"/>
      <w:lang w:val="en-US" w:eastAsia="zh-CN" w:bidi="ar-SA"/>
    </w:rPr>
  </w:style>
  <w:style w:type="character" w:customStyle="1" w:styleId="305">
    <w:name w:val="纯文本 Char2"/>
    <w:semiHidden/>
    <w:qFormat/>
    <w:uiPriority w:val="0"/>
    <w:rPr>
      <w:rFonts w:ascii="宋体" w:hAnsi="Courier New" w:eastAsia="宋体" w:cs="Courier New"/>
      <w:szCs w:val="21"/>
    </w:rPr>
  </w:style>
  <w:style w:type="character" w:customStyle="1" w:styleId="306">
    <w:name w:val="Footnote Text Char"/>
    <w:qFormat/>
    <w:uiPriority w:val="0"/>
    <w:rPr>
      <w:rFonts w:eastAsia="宋体"/>
      <w:sz w:val="18"/>
      <w:lang w:val="en-US" w:eastAsia="zh-CN" w:bidi="ar-SA"/>
    </w:rPr>
  </w:style>
  <w:style w:type="character" w:customStyle="1" w:styleId="307">
    <w:name w:val="Heading 4 Char"/>
    <w:qFormat/>
    <w:uiPriority w:val="0"/>
    <w:rPr>
      <w:rFonts w:ascii="Arial" w:hAnsi="Arial" w:eastAsia="宋体"/>
      <w:b/>
      <w:bCs/>
      <w:sz w:val="21"/>
      <w:szCs w:val="28"/>
      <w:lang w:val="en-US" w:eastAsia="zh-CN" w:bidi="ar-SA"/>
    </w:rPr>
  </w:style>
  <w:style w:type="character" w:customStyle="1" w:styleId="308">
    <w:name w:val="日期 Char1"/>
    <w:qFormat/>
    <w:uiPriority w:val="0"/>
    <w:rPr>
      <w:rFonts w:ascii="Times New Roman" w:hAnsi="Times New Roman" w:eastAsia="宋体" w:cs="Times New Roman"/>
      <w:szCs w:val="24"/>
    </w:rPr>
  </w:style>
  <w:style w:type="character" w:customStyle="1" w:styleId="309">
    <w:name w:val="二级目录 Char"/>
    <w:link w:val="310"/>
    <w:qFormat/>
    <w:uiPriority w:val="0"/>
    <w:rPr>
      <w:rFonts w:eastAsia="Times New Roman"/>
      <w:b/>
      <w:sz w:val="30"/>
      <w:szCs w:val="28"/>
      <w:lang w:val="en-US" w:eastAsia="zh-CN" w:bidi="ar-SA"/>
    </w:rPr>
  </w:style>
  <w:style w:type="paragraph" w:customStyle="1" w:styleId="310">
    <w:name w:val="二级目录"/>
    <w:next w:val="1"/>
    <w:link w:val="309"/>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character" w:customStyle="1" w:styleId="311">
    <w:name w:val="bigfont"/>
    <w:basedOn w:val="204"/>
    <w:qFormat/>
    <w:uiPriority w:val="99"/>
    <w:rPr>
      <w:rFonts w:cs="Times New Roman"/>
    </w:rPr>
  </w:style>
  <w:style w:type="character" w:customStyle="1" w:styleId="312">
    <w:name w:val="批注主题 Char1"/>
    <w:qFormat/>
    <w:uiPriority w:val="0"/>
    <w:rPr>
      <w:rFonts w:ascii="Times New Roman" w:hAnsi="Times New Roman" w:eastAsia="宋体" w:cs="Times New Roman"/>
      <w:b/>
      <w:bCs/>
      <w:szCs w:val="24"/>
    </w:rPr>
  </w:style>
  <w:style w:type="character" w:customStyle="1" w:styleId="313">
    <w:name w:val="Plain Text Char"/>
    <w:qFormat/>
    <w:uiPriority w:val="0"/>
    <w:rPr>
      <w:rFonts w:ascii="宋体" w:hAnsi="Courier New" w:eastAsia="宋体"/>
      <w:sz w:val="24"/>
      <w:lang w:bidi="ar-SA"/>
    </w:rPr>
  </w:style>
  <w:style w:type="character" w:customStyle="1" w:styleId="314">
    <w:name w:val="Header Char"/>
    <w:qFormat/>
    <w:uiPriority w:val="0"/>
    <w:rPr>
      <w:rFonts w:eastAsia="宋体"/>
      <w:sz w:val="18"/>
      <w:szCs w:val="18"/>
      <w:lang w:val="en-US" w:eastAsia="zh-CN" w:bidi="ar-SA"/>
    </w:rPr>
  </w:style>
  <w:style w:type="character" w:customStyle="1" w:styleId="315">
    <w:name w:val="正文文本 + MS Mincho8"/>
    <w:basedOn w:val="316"/>
    <w:qFormat/>
    <w:uiPriority w:val="99"/>
    <w:rPr>
      <w:rFonts w:ascii="MS Mincho" w:eastAsia="MS Mincho" w:cs="MS Mincho"/>
      <w:spacing w:val="0"/>
      <w:sz w:val="27"/>
      <w:szCs w:val="27"/>
      <w:shd w:val="clear" w:color="auto" w:fill="FFFFFF"/>
      <w:lang w:val="en-US" w:eastAsia="en-US"/>
    </w:rPr>
  </w:style>
  <w:style w:type="character" w:customStyle="1" w:styleId="316">
    <w:name w:val="正文文本 Char1"/>
    <w:basedOn w:val="204"/>
    <w:qFormat/>
    <w:uiPriority w:val="0"/>
    <w:rPr>
      <w:rFonts w:ascii="MingLiU" w:eastAsia="MingLiU" w:cs="MingLiU"/>
      <w:spacing w:val="10"/>
      <w:sz w:val="22"/>
      <w:shd w:val="clear" w:color="auto" w:fill="FFFFFF"/>
    </w:rPr>
  </w:style>
  <w:style w:type="character" w:customStyle="1" w:styleId="317">
    <w:name w:val="Comment Subject Char"/>
    <w:qFormat/>
    <w:uiPriority w:val="0"/>
    <w:rPr>
      <w:b/>
      <w:sz w:val="24"/>
      <w:lang w:bidi="ar-SA"/>
    </w:rPr>
  </w:style>
  <w:style w:type="character" w:customStyle="1" w:styleId="318">
    <w:name w:val="引用 Char1"/>
    <w:basedOn w:val="204"/>
    <w:qFormat/>
    <w:uiPriority w:val="29"/>
    <w:rPr>
      <w:i/>
      <w:iCs/>
      <w:color w:val="000000"/>
      <w:sz w:val="21"/>
      <w:szCs w:val="24"/>
    </w:rPr>
  </w:style>
  <w:style w:type="character" w:customStyle="1" w:styleId="319">
    <w:name w:val="Char Char91"/>
    <w:qFormat/>
    <w:uiPriority w:val="0"/>
    <w:rPr>
      <w:rFonts w:eastAsia="宋体"/>
      <w:b/>
      <w:bCs/>
      <w:sz w:val="32"/>
      <w:szCs w:val="44"/>
      <w:lang w:val="en-US" w:eastAsia="zh-CN" w:bidi="ar-SA"/>
    </w:rPr>
  </w:style>
  <w:style w:type="character" w:customStyle="1" w:styleId="320">
    <w:name w:val="正文文本 + MS Mincho"/>
    <w:basedOn w:val="316"/>
    <w:qFormat/>
    <w:uiPriority w:val="99"/>
    <w:rPr>
      <w:rFonts w:ascii="MingLiU" w:eastAsia="MingLiU" w:cs="MingLiU"/>
      <w:spacing w:val="10"/>
      <w:sz w:val="22"/>
      <w:shd w:val="clear" w:color="auto" w:fill="FFFFFF"/>
    </w:rPr>
  </w:style>
  <w:style w:type="character" w:customStyle="1" w:styleId="321">
    <w:name w:val="sub_title2"/>
    <w:basedOn w:val="204"/>
    <w:qFormat/>
    <w:uiPriority w:val="0"/>
  </w:style>
  <w:style w:type="character" w:customStyle="1" w:styleId="322">
    <w:name w:val="批注文字 Char Char"/>
    <w:qFormat/>
    <w:uiPriority w:val="0"/>
    <w:rPr>
      <w:rFonts w:eastAsia="宋体"/>
      <w:sz w:val="21"/>
      <w:szCs w:val="24"/>
      <w:lang w:bidi="ar-SA"/>
    </w:rPr>
  </w:style>
  <w:style w:type="character" w:customStyle="1" w:styleId="323">
    <w:name w:val="标题 Char1"/>
    <w:qFormat/>
    <w:uiPriority w:val="10"/>
    <w:rPr>
      <w:rFonts w:ascii="Cambria" w:hAnsi="Cambria" w:eastAsia="宋体" w:cs="Times New Roman"/>
      <w:b/>
      <w:bCs/>
      <w:sz w:val="32"/>
      <w:szCs w:val="32"/>
    </w:rPr>
  </w:style>
  <w:style w:type="character" w:customStyle="1" w:styleId="324">
    <w:name w:val="Char Char22"/>
    <w:qFormat/>
    <w:uiPriority w:val="0"/>
    <w:rPr>
      <w:rFonts w:ascii="Times New Roman" w:hAnsi="Times New Roman" w:eastAsia="宋体" w:cs="Times New Roman"/>
      <w:b/>
      <w:bCs/>
      <w:sz w:val="32"/>
      <w:szCs w:val="44"/>
    </w:rPr>
  </w:style>
  <w:style w:type="character" w:customStyle="1" w:styleId="325">
    <w:name w:val="明显引用 Char Char"/>
    <w:basedOn w:val="204"/>
    <w:qFormat/>
    <w:uiPriority w:val="0"/>
    <w:rPr>
      <w:b/>
      <w:i/>
      <w:color w:val="4F81BD"/>
      <w:sz w:val="24"/>
    </w:rPr>
  </w:style>
  <w:style w:type="character" w:customStyle="1" w:styleId="326">
    <w:name w:val="Char Char24"/>
    <w:qFormat/>
    <w:uiPriority w:val="0"/>
    <w:rPr>
      <w:rFonts w:eastAsia="宋体"/>
      <w:b/>
      <w:bCs/>
      <w:sz w:val="32"/>
      <w:szCs w:val="44"/>
      <w:lang w:val="en-US" w:eastAsia="zh-CN" w:bidi="ar-SA"/>
    </w:rPr>
  </w:style>
  <w:style w:type="character" w:customStyle="1" w:styleId="327">
    <w:name w:val="引用 Char2"/>
    <w:link w:val="328"/>
    <w:qFormat/>
    <w:uiPriority w:val="0"/>
    <w:rPr>
      <w:i/>
      <w:color w:val="000000"/>
      <w:sz w:val="22"/>
    </w:rPr>
  </w:style>
  <w:style w:type="paragraph" w:styleId="328">
    <w:name w:val="Quote"/>
    <w:basedOn w:val="1"/>
    <w:next w:val="1"/>
    <w:link w:val="327"/>
    <w:qFormat/>
    <w:uiPriority w:val="0"/>
    <w:rPr>
      <w:i/>
      <w:color w:val="000000"/>
      <w:sz w:val="22"/>
      <w:szCs w:val="20"/>
    </w:rPr>
  </w:style>
  <w:style w:type="character" w:customStyle="1" w:styleId="329">
    <w:name w:val="Char Char Char"/>
    <w:link w:val="330"/>
    <w:qFormat/>
    <w:uiPriority w:val="0"/>
    <w:rPr>
      <w:rFonts w:ascii="Tahoma" w:hAnsi="Tahoma"/>
      <w:sz w:val="24"/>
    </w:rPr>
  </w:style>
  <w:style w:type="paragraph" w:customStyle="1" w:styleId="330">
    <w:name w:val="Char"/>
    <w:basedOn w:val="1"/>
    <w:link w:val="329"/>
    <w:qFormat/>
    <w:uiPriority w:val="0"/>
    <w:rPr>
      <w:rFonts w:ascii="Tahoma" w:hAnsi="Tahoma"/>
      <w:szCs w:val="20"/>
    </w:rPr>
  </w:style>
  <w:style w:type="character" w:customStyle="1" w:styleId="331">
    <w:name w:val="表格标题 + MS Mincho"/>
    <w:basedOn w:val="332"/>
    <w:qFormat/>
    <w:uiPriority w:val="99"/>
    <w:rPr>
      <w:rFonts w:ascii="MS Mincho" w:eastAsia="MS Mincho" w:cs="MS Mincho"/>
      <w:spacing w:val="0"/>
      <w:sz w:val="27"/>
      <w:szCs w:val="27"/>
      <w:shd w:val="clear" w:color="auto" w:fill="FFFFFF"/>
    </w:rPr>
  </w:style>
  <w:style w:type="character" w:customStyle="1" w:styleId="332">
    <w:name w:val="表格标题_"/>
    <w:basedOn w:val="204"/>
    <w:link w:val="333"/>
    <w:qFormat/>
    <w:uiPriority w:val="99"/>
    <w:rPr>
      <w:rFonts w:ascii="MingLiU" w:eastAsia="MingLiU" w:cs="MingLiU"/>
      <w:spacing w:val="10"/>
      <w:sz w:val="26"/>
      <w:szCs w:val="26"/>
      <w:shd w:val="clear" w:color="auto" w:fill="FFFFFF"/>
    </w:rPr>
  </w:style>
  <w:style w:type="paragraph" w:customStyle="1" w:styleId="333">
    <w:name w:val="表格标题"/>
    <w:basedOn w:val="1"/>
    <w:link w:val="332"/>
    <w:qFormat/>
    <w:uiPriority w:val="99"/>
    <w:pPr>
      <w:shd w:val="clear" w:color="auto" w:fill="FFFFFF"/>
      <w:spacing w:line="240" w:lineRule="atLeast"/>
      <w:jc w:val="left"/>
    </w:pPr>
    <w:rPr>
      <w:rFonts w:ascii="MingLiU" w:eastAsia="MingLiU" w:cs="MingLiU"/>
      <w:spacing w:val="10"/>
      <w:sz w:val="26"/>
      <w:szCs w:val="26"/>
    </w:rPr>
  </w:style>
  <w:style w:type="character" w:customStyle="1" w:styleId="334">
    <w:name w:val="批注文字 Char1"/>
    <w:qFormat/>
    <w:uiPriority w:val="0"/>
    <w:rPr>
      <w:rFonts w:ascii="Times New Roman" w:hAnsi="Times New Roman" w:eastAsia="宋体" w:cs="Times New Roman"/>
      <w:szCs w:val="24"/>
    </w:rPr>
  </w:style>
  <w:style w:type="character" w:customStyle="1" w:styleId="335">
    <w:name w:val="Comment Text Char"/>
    <w:qFormat/>
    <w:uiPriority w:val="0"/>
    <w:rPr>
      <w:rFonts w:cs="Times New Roman"/>
      <w:sz w:val="24"/>
      <w:szCs w:val="24"/>
    </w:rPr>
  </w:style>
  <w:style w:type="character" w:customStyle="1" w:styleId="336">
    <w:name w:val="标题 #3_"/>
    <w:basedOn w:val="204"/>
    <w:link w:val="337"/>
    <w:qFormat/>
    <w:uiPriority w:val="99"/>
    <w:rPr>
      <w:rFonts w:ascii="MingLiU" w:eastAsia="MingLiU" w:cs="MingLiU"/>
      <w:spacing w:val="10"/>
      <w:sz w:val="26"/>
      <w:szCs w:val="26"/>
      <w:shd w:val="clear" w:color="auto" w:fill="FFFFFF"/>
    </w:rPr>
  </w:style>
  <w:style w:type="paragraph" w:customStyle="1" w:styleId="337">
    <w:name w:val="标题 #3"/>
    <w:basedOn w:val="1"/>
    <w:link w:val="336"/>
    <w:qFormat/>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338">
    <w:name w:val="Body Text Indent 2 Char"/>
    <w:qFormat/>
    <w:uiPriority w:val="0"/>
    <w:rPr>
      <w:rFonts w:eastAsia="宋体"/>
      <w:sz w:val="21"/>
      <w:szCs w:val="24"/>
      <w:lang w:val="en-US" w:eastAsia="zh-CN" w:bidi="ar-SA"/>
    </w:rPr>
  </w:style>
  <w:style w:type="character" w:customStyle="1" w:styleId="339">
    <w:name w:val="Char Char181"/>
    <w:qFormat/>
    <w:uiPriority w:val="0"/>
    <w:rPr>
      <w:b/>
      <w:bCs/>
      <w:sz w:val="44"/>
      <w:szCs w:val="44"/>
    </w:rPr>
  </w:style>
  <w:style w:type="character" w:customStyle="1" w:styleId="340">
    <w:name w:val="Char Char23"/>
    <w:basedOn w:val="204"/>
    <w:qFormat/>
    <w:uiPriority w:val="0"/>
    <w:rPr>
      <w:rFonts w:ascii="Tahoma" w:hAnsi="Tahoma"/>
      <w:b/>
      <w:sz w:val="44"/>
      <w:szCs w:val="20"/>
    </w:rPr>
  </w:style>
  <w:style w:type="character" w:customStyle="1" w:styleId="341">
    <w:name w:val="hover1"/>
    <w:basedOn w:val="204"/>
    <w:qFormat/>
    <w:uiPriority w:val="0"/>
    <w:rPr>
      <w:color w:val="FFFFFF"/>
    </w:rPr>
  </w:style>
  <w:style w:type="character" w:customStyle="1" w:styleId="342">
    <w:name w:val="样式 Char"/>
    <w:link w:val="343"/>
    <w:qFormat/>
    <w:uiPriority w:val="0"/>
    <w:rPr>
      <w:rFonts w:ascii="宋体" w:hAnsi="宋体" w:cs="宋体"/>
      <w:sz w:val="24"/>
      <w:szCs w:val="24"/>
      <w:lang w:val="en-US" w:eastAsia="zh-CN" w:bidi="ar-SA"/>
    </w:rPr>
  </w:style>
  <w:style w:type="paragraph" w:customStyle="1" w:styleId="343">
    <w:name w:val="样式"/>
    <w:link w:val="342"/>
    <w:qFormat/>
    <w:uiPriority w:val="0"/>
    <w:pPr>
      <w:widowControl w:val="0"/>
    </w:pPr>
    <w:rPr>
      <w:rFonts w:hint="default" w:ascii="宋体" w:hAnsi="宋体" w:eastAsia="宋体" w:cs="宋体"/>
      <w:sz w:val="24"/>
      <w:szCs w:val="24"/>
      <w:lang w:val="en-US" w:eastAsia="zh-CN" w:bidi="ar-SA"/>
    </w:rPr>
  </w:style>
  <w:style w:type="character" w:customStyle="1" w:styleId="344">
    <w:name w:val="Char Char231"/>
    <w:qFormat/>
    <w:uiPriority w:val="0"/>
    <w:rPr>
      <w:rFonts w:eastAsia="宋体"/>
      <w:b/>
      <w:bCs/>
      <w:sz w:val="32"/>
      <w:szCs w:val="44"/>
      <w:lang w:val="en-US" w:eastAsia="zh-CN" w:bidi="ar-SA"/>
    </w:rPr>
  </w:style>
  <w:style w:type="character" w:customStyle="1" w:styleId="345">
    <w:name w:val="文档结构图 Char1"/>
    <w:qFormat/>
    <w:uiPriority w:val="0"/>
    <w:rPr>
      <w:rFonts w:ascii="宋体" w:hAnsi="Times New Roman" w:eastAsia="宋体" w:cs="Times New Roman"/>
      <w:sz w:val="18"/>
      <w:szCs w:val="18"/>
    </w:rPr>
  </w:style>
  <w:style w:type="character" w:customStyle="1" w:styleId="346">
    <w:name w:val="不明显参考1"/>
    <w:basedOn w:val="204"/>
    <w:qFormat/>
    <w:uiPriority w:val="0"/>
    <w:rPr>
      <w:smallCaps/>
      <w:color w:val="C0504D"/>
      <w:u w:val="single"/>
    </w:rPr>
  </w:style>
  <w:style w:type="character" w:customStyle="1" w:styleId="347">
    <w:name w:val="正文文本 + 间距 2 pt"/>
    <w:basedOn w:val="316"/>
    <w:qFormat/>
    <w:uiPriority w:val="99"/>
    <w:rPr>
      <w:rFonts w:ascii="MingLiU" w:eastAsia="MingLiU" w:cs="MingLiU"/>
      <w:spacing w:val="10"/>
      <w:sz w:val="22"/>
      <w:shd w:val="clear" w:color="auto" w:fill="FFFFFF"/>
    </w:rPr>
  </w:style>
  <w:style w:type="character" w:customStyle="1" w:styleId="348">
    <w:name w:val="标题5 Char Char"/>
    <w:link w:val="349"/>
    <w:qFormat/>
    <w:uiPriority w:val="0"/>
    <w:rPr>
      <w:rFonts w:ascii="Arial" w:hAnsi="Arial"/>
      <w:b/>
      <w:sz w:val="32"/>
    </w:rPr>
  </w:style>
  <w:style w:type="paragraph" w:customStyle="1" w:styleId="349">
    <w:name w:val="标题5"/>
    <w:basedOn w:val="198"/>
    <w:link w:val="348"/>
    <w:qFormat/>
    <w:uiPriority w:val="0"/>
    <w:pPr>
      <w:tabs>
        <w:tab w:val="left" w:pos="720"/>
      </w:tabs>
      <w:spacing w:line="413" w:lineRule="auto"/>
    </w:pPr>
    <w:rPr>
      <w:rFonts w:ascii="Arial" w:hAnsi="Arial"/>
      <w:b/>
      <w:bCs w:val="0"/>
      <w:sz w:val="32"/>
      <w:szCs w:val="20"/>
    </w:rPr>
  </w:style>
  <w:style w:type="character" w:customStyle="1" w:styleId="350">
    <w:name w:val="超链接_0"/>
    <w:qFormat/>
    <w:uiPriority w:val="99"/>
    <w:rPr>
      <w:rFonts w:ascii="Calibri" w:hAnsi="Calibri" w:cs="Times New Roman"/>
      <w:color w:val="0000FF"/>
      <w:u w:val="single"/>
    </w:rPr>
  </w:style>
  <w:style w:type="character" w:customStyle="1" w:styleId="351">
    <w:name w:val="页眉或页脚 + MS Mincho"/>
    <w:basedOn w:val="298"/>
    <w:qFormat/>
    <w:uiPriority w:val="99"/>
    <w:rPr>
      <w:rFonts w:ascii="MS Mincho" w:eastAsia="MS Mincho" w:cs="MS Mincho"/>
      <w:spacing w:val="0"/>
      <w:sz w:val="27"/>
      <w:szCs w:val="27"/>
      <w:shd w:val="clear" w:color="auto" w:fill="FFFFFF"/>
      <w:lang w:val="en-US" w:eastAsia="en-US"/>
    </w:rPr>
  </w:style>
  <w:style w:type="character" w:customStyle="1" w:styleId="352">
    <w:name w:val="列出段落 Char"/>
    <w:link w:val="353"/>
    <w:qFormat/>
    <w:uiPriority w:val="34"/>
    <w:rPr>
      <w:szCs w:val="24"/>
    </w:rPr>
  </w:style>
  <w:style w:type="paragraph" w:customStyle="1" w:styleId="353">
    <w:name w:val="列出段落1"/>
    <w:basedOn w:val="1"/>
    <w:link w:val="352"/>
    <w:qFormat/>
    <w:uiPriority w:val="34"/>
    <w:pPr>
      <w:ind w:firstLine="420"/>
    </w:pPr>
    <w:rPr>
      <w:sz w:val="20"/>
    </w:rPr>
  </w:style>
  <w:style w:type="character" w:customStyle="1" w:styleId="354">
    <w:name w:val="纯文本 Char Char"/>
    <w:qFormat/>
    <w:uiPriority w:val="0"/>
    <w:rPr>
      <w:rFonts w:ascii="宋体" w:hAnsi="Courier New" w:eastAsia="宋体"/>
      <w:sz w:val="21"/>
      <w:lang w:val="en-US" w:eastAsia="zh-CN"/>
    </w:rPr>
  </w:style>
  <w:style w:type="character" w:customStyle="1" w:styleId="355">
    <w:name w:val="标题 1 Char1"/>
    <w:qFormat/>
    <w:uiPriority w:val="0"/>
    <w:rPr>
      <w:rFonts w:ascii="Calibri" w:hAnsi="Calibri" w:eastAsia="宋体" w:cs="Arial"/>
      <w:b/>
      <w:sz w:val="44"/>
      <w:szCs w:val="20"/>
    </w:rPr>
  </w:style>
  <w:style w:type="character" w:customStyle="1" w:styleId="356">
    <w:name w:val="ҳŠChar"/>
    <w:basedOn w:val="204"/>
    <w:qFormat/>
    <w:uiPriority w:val="0"/>
    <w:rPr>
      <w:rFonts w:eastAsia="宋体"/>
      <w:sz w:val="18"/>
      <w:szCs w:val="18"/>
      <w:lang w:val="en-US" w:eastAsia="zh-CN" w:bidi="ar-SA"/>
    </w:rPr>
  </w:style>
  <w:style w:type="character" w:customStyle="1" w:styleId="357">
    <w:name w:val="引用 Char Char"/>
    <w:basedOn w:val="204"/>
    <w:qFormat/>
    <w:uiPriority w:val="0"/>
    <w:rPr>
      <w:i/>
      <w:color w:val="000000"/>
      <w:sz w:val="24"/>
    </w:rPr>
  </w:style>
  <w:style w:type="character" w:customStyle="1" w:styleId="358">
    <w:name w:val="ꌢ 3 Char"/>
    <w:basedOn w:val="204"/>
    <w:link w:val="359"/>
    <w:qFormat/>
    <w:uiPriority w:val="0"/>
    <w:rPr>
      <w:rFonts w:ascii="Ђˎ̥" w:hAnsi="Ђˎ̥"/>
      <w:b/>
      <w:bCs/>
    </w:rPr>
  </w:style>
  <w:style w:type="paragraph" w:customStyle="1" w:styleId="359">
    <w:name w:val="ꌢ 3"/>
    <w:basedOn w:val="1"/>
    <w:link w:val="358"/>
    <w:qFormat/>
    <w:uiPriority w:val="0"/>
    <w:pPr>
      <w:widowControl/>
    </w:pPr>
    <w:rPr>
      <w:rFonts w:ascii="Ђˎ̥" w:hAnsi="Ђˎ̥"/>
      <w:b/>
      <w:bCs/>
      <w:sz w:val="20"/>
      <w:szCs w:val="20"/>
    </w:rPr>
  </w:style>
  <w:style w:type="character" w:customStyle="1" w:styleId="360">
    <w:name w:val="引用 Char"/>
    <w:basedOn w:val="204"/>
    <w:link w:val="361"/>
    <w:qFormat/>
    <w:uiPriority w:val="0"/>
    <w:rPr>
      <w:i/>
      <w:color w:val="000000"/>
      <w:sz w:val="24"/>
    </w:rPr>
  </w:style>
  <w:style w:type="paragraph" w:customStyle="1" w:styleId="361">
    <w:name w:val="引用1"/>
    <w:basedOn w:val="1"/>
    <w:next w:val="1"/>
    <w:link w:val="360"/>
    <w:qFormat/>
    <w:uiPriority w:val="0"/>
    <w:rPr>
      <w:i/>
      <w:color w:val="000000"/>
      <w:szCs w:val="20"/>
    </w:rPr>
  </w:style>
  <w:style w:type="character" w:customStyle="1" w:styleId="362">
    <w:name w:val="Char Char221"/>
    <w:basedOn w:val="204"/>
    <w:qFormat/>
    <w:uiPriority w:val="0"/>
    <w:rPr>
      <w:b/>
      <w:sz w:val="44"/>
    </w:rPr>
  </w:style>
  <w:style w:type="character" w:customStyle="1" w:styleId="363">
    <w:name w:val="Heading 3 Char"/>
    <w:qFormat/>
    <w:uiPriority w:val="0"/>
    <w:rPr>
      <w:rFonts w:cs="Times New Roman"/>
      <w:b/>
      <w:bCs/>
      <w:sz w:val="32"/>
      <w:szCs w:val="32"/>
    </w:rPr>
  </w:style>
  <w:style w:type="character" w:customStyle="1" w:styleId="364">
    <w:name w:val="正文文本 + 9.5 pt"/>
    <w:basedOn w:val="316"/>
    <w:qFormat/>
    <w:uiPriority w:val="99"/>
    <w:rPr>
      <w:rFonts w:ascii="MingLiU" w:eastAsia="MingLiU" w:cs="MingLiU"/>
      <w:spacing w:val="10"/>
      <w:sz w:val="19"/>
      <w:szCs w:val="19"/>
      <w:shd w:val="clear" w:color="auto" w:fill="FFFFFF"/>
    </w:rPr>
  </w:style>
  <w:style w:type="character" w:customStyle="1" w:styleId="365">
    <w:name w:val="Comment Text Char1"/>
    <w:qFormat/>
    <w:uiPriority w:val="0"/>
    <w:rPr>
      <w:sz w:val="24"/>
      <w:lang w:bidi="ar-SA"/>
    </w:rPr>
  </w:style>
  <w:style w:type="character" w:customStyle="1" w:styleId="366">
    <w:name w:val="无间隔 Char"/>
    <w:basedOn w:val="204"/>
    <w:link w:val="367"/>
    <w:qFormat/>
    <w:uiPriority w:val="99"/>
    <w:rPr>
      <w:sz w:val="21"/>
      <w:szCs w:val="24"/>
    </w:rPr>
  </w:style>
  <w:style w:type="paragraph" w:customStyle="1" w:styleId="367">
    <w:name w:val="无间隔1"/>
    <w:basedOn w:val="1"/>
    <w:link w:val="366"/>
    <w:qFormat/>
    <w:uiPriority w:val="0"/>
  </w:style>
  <w:style w:type="character" w:customStyle="1" w:styleId="368">
    <w:name w:val="批注框文本 Char1"/>
    <w:qFormat/>
    <w:uiPriority w:val="0"/>
    <w:rPr>
      <w:rFonts w:ascii="Times New Roman" w:hAnsi="Times New Roman" w:eastAsia="宋体" w:cs="Times New Roman"/>
      <w:sz w:val="18"/>
      <w:szCs w:val="18"/>
    </w:rPr>
  </w:style>
  <w:style w:type="character" w:customStyle="1" w:styleId="369">
    <w:name w:val="明显引用 Char1"/>
    <w:basedOn w:val="204"/>
    <w:qFormat/>
    <w:uiPriority w:val="30"/>
    <w:rPr>
      <w:b/>
      <w:bCs/>
      <w:i/>
      <w:iCs/>
      <w:color w:val="4F81BD"/>
      <w:sz w:val="21"/>
      <w:szCs w:val="24"/>
    </w:rPr>
  </w:style>
  <w:style w:type="character" w:customStyle="1" w:styleId="370">
    <w:name w:val="ꌢ 2 Char"/>
    <w:basedOn w:val="204"/>
    <w:link w:val="371"/>
    <w:qFormat/>
    <w:uiPriority w:val="0"/>
    <w:rPr>
      <w:rFonts w:ascii="Arial" w:hAnsi="Arial"/>
      <w:b/>
      <w:bCs/>
    </w:rPr>
  </w:style>
  <w:style w:type="paragraph" w:customStyle="1" w:styleId="371">
    <w:name w:val="ꌢ 2"/>
    <w:basedOn w:val="1"/>
    <w:link w:val="370"/>
    <w:qFormat/>
    <w:uiPriority w:val="0"/>
    <w:pPr>
      <w:widowControl/>
    </w:pPr>
    <w:rPr>
      <w:rFonts w:ascii="Arial" w:hAnsi="Arial"/>
      <w:b/>
      <w:bCs/>
      <w:sz w:val="20"/>
      <w:szCs w:val="20"/>
    </w:rPr>
  </w:style>
  <w:style w:type="character" w:customStyle="1" w:styleId="372">
    <w:name w:val="Document Map Char"/>
    <w:qFormat/>
    <w:uiPriority w:val="0"/>
    <w:rPr>
      <w:rFonts w:eastAsia="宋体"/>
      <w:sz w:val="21"/>
      <w:szCs w:val="24"/>
      <w:lang w:val="en-US" w:eastAsia="zh-CN" w:bidi="ar-SA"/>
    </w:rPr>
  </w:style>
  <w:style w:type="character" w:customStyle="1" w:styleId="373">
    <w:name w:val="普通文字1 Char2"/>
    <w:qFormat/>
    <w:uiPriority w:val="0"/>
    <w:rPr>
      <w:rFonts w:ascii="宋体" w:hAnsi="Courier New" w:eastAsia="宋体"/>
    </w:rPr>
  </w:style>
  <w:style w:type="character" w:customStyle="1" w:styleId="374">
    <w:name w:val="副标题 Char1"/>
    <w:basedOn w:val="204"/>
    <w:qFormat/>
    <w:uiPriority w:val="11"/>
    <w:rPr>
      <w:rFonts w:ascii="Cambria" w:hAnsi="Cambria" w:cs="Times New Roman"/>
      <w:b/>
      <w:bCs/>
      <w:sz w:val="32"/>
      <w:szCs w:val="32"/>
    </w:rPr>
  </w:style>
  <w:style w:type="character" w:customStyle="1" w:styleId="375">
    <w:name w:val="ҳŻ"/>
    <w:basedOn w:val="204"/>
    <w:link w:val="376"/>
    <w:qFormat/>
    <w:uiPriority w:val="0"/>
    <w:rPr>
      <w:rFonts w:ascii="宋体" w:hAnsi="宋体" w:cs="宋体"/>
      <w:sz w:val="32"/>
      <w:szCs w:val="32"/>
    </w:rPr>
  </w:style>
  <w:style w:type="paragraph" w:customStyle="1" w:styleId="376">
    <w:name w:val="ҳŠChar1"/>
    <w:basedOn w:val="1"/>
    <w:link w:val="375"/>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377">
    <w:name w:val="apple-converted-space"/>
    <w:basedOn w:val="204"/>
    <w:qFormat/>
    <w:uiPriority w:val="0"/>
  </w:style>
  <w:style w:type="character" w:customStyle="1" w:styleId="378">
    <w:name w:val="Char Char20"/>
    <w:qFormat/>
    <w:uiPriority w:val="0"/>
    <w:rPr>
      <w:rFonts w:ascii="Times New Roman" w:hAnsi="Times New Roman" w:eastAsia="宋体" w:cs="Times New Roman"/>
      <w:b/>
      <w:bCs/>
      <w:sz w:val="24"/>
      <w:szCs w:val="32"/>
    </w:rPr>
  </w:style>
  <w:style w:type="character" w:customStyle="1" w:styleId="379">
    <w:name w:val="Char Char"/>
    <w:qFormat/>
    <w:uiPriority w:val="0"/>
    <w:rPr>
      <w:rFonts w:ascii="宋体" w:hAnsi="Courier New" w:eastAsia="宋体" w:cs="Courier New"/>
      <w:sz w:val="21"/>
      <w:szCs w:val="21"/>
      <w:lang w:val="en-US" w:eastAsia="zh-CN" w:bidi="ar-SA"/>
    </w:rPr>
  </w:style>
  <w:style w:type="character" w:customStyle="1" w:styleId="380">
    <w:name w:val="Char Char2"/>
    <w:basedOn w:val="204"/>
    <w:link w:val="381"/>
    <w:qFormat/>
    <w:uiPriority w:val="0"/>
    <w:rPr>
      <w:sz w:val="21"/>
    </w:rPr>
  </w:style>
  <w:style w:type="paragraph" w:customStyle="1" w:styleId="381">
    <w:name w:val="Char3"/>
    <w:basedOn w:val="1"/>
    <w:link w:val="380"/>
    <w:qFormat/>
    <w:uiPriority w:val="0"/>
    <w:rPr>
      <w:szCs w:val="20"/>
    </w:rPr>
  </w:style>
  <w:style w:type="character" w:customStyle="1" w:styleId="382">
    <w:name w:val="hover"/>
    <w:basedOn w:val="204"/>
    <w:qFormat/>
    <w:uiPriority w:val="0"/>
    <w:rPr>
      <w:color w:val="5FB878"/>
    </w:rPr>
  </w:style>
  <w:style w:type="character" w:customStyle="1" w:styleId="383">
    <w:name w:val="Char Char1"/>
    <w:qFormat/>
    <w:uiPriority w:val="99"/>
    <w:rPr>
      <w:rFonts w:ascii="Tahoma" w:hAnsi="Tahoma" w:eastAsia="宋体"/>
      <w:sz w:val="24"/>
      <w:lang w:val="en-US" w:eastAsia="zh-CN" w:bidi="ar-SA"/>
    </w:rPr>
  </w:style>
  <w:style w:type="character" w:customStyle="1" w:styleId="384">
    <w:name w:val="Char Char21"/>
    <w:qFormat/>
    <w:uiPriority w:val="0"/>
    <w:rPr>
      <w:rFonts w:ascii="Arial" w:hAnsi="Arial" w:eastAsia="黑体" w:cs="Times New Roman"/>
      <w:b/>
      <w:bCs/>
      <w:sz w:val="32"/>
      <w:szCs w:val="32"/>
    </w:rPr>
  </w:style>
  <w:style w:type="character" w:customStyle="1" w:styleId="385">
    <w:name w:val="Date Char"/>
    <w:qFormat/>
    <w:uiPriority w:val="0"/>
    <w:rPr>
      <w:rFonts w:eastAsia="宋体"/>
      <w:sz w:val="21"/>
      <w:szCs w:val="24"/>
      <w:lang w:val="en-US" w:eastAsia="zh-CN" w:bidi="ar-SA"/>
    </w:rPr>
  </w:style>
  <w:style w:type="character" w:customStyle="1" w:styleId="386">
    <w:name w:val="不明显强调1"/>
    <w:basedOn w:val="204"/>
    <w:qFormat/>
    <w:uiPriority w:val="0"/>
    <w:rPr>
      <w:i/>
      <w:color w:val="808080"/>
    </w:rPr>
  </w:style>
  <w:style w:type="character" w:customStyle="1" w:styleId="387">
    <w:name w:val="明显引用 Char2"/>
    <w:link w:val="388"/>
    <w:qFormat/>
    <w:uiPriority w:val="0"/>
    <w:rPr>
      <w:b/>
      <w:i/>
      <w:color w:val="4F81BD"/>
      <w:sz w:val="22"/>
    </w:rPr>
  </w:style>
  <w:style w:type="paragraph" w:styleId="388">
    <w:name w:val="Intense Quote"/>
    <w:basedOn w:val="1"/>
    <w:next w:val="1"/>
    <w:link w:val="387"/>
    <w:qFormat/>
    <w:uiPriority w:val="0"/>
    <w:pPr>
      <w:pBdr>
        <w:bottom w:val="single" w:color="4F81BD" w:sz="4" w:space="4"/>
      </w:pBdr>
      <w:spacing w:before="200" w:after="280"/>
      <w:ind w:left="936" w:right="936"/>
    </w:pPr>
    <w:rPr>
      <w:b/>
      <w:i/>
      <w:color w:val="4F81BD"/>
      <w:sz w:val="22"/>
      <w:szCs w:val="20"/>
    </w:rPr>
  </w:style>
  <w:style w:type="character" w:customStyle="1" w:styleId="389">
    <w:name w:val="Body Text Indent Char"/>
    <w:qFormat/>
    <w:uiPriority w:val="0"/>
    <w:rPr>
      <w:rFonts w:ascii="宋体" w:hAnsi="宋体" w:eastAsia="宋体"/>
      <w:sz w:val="21"/>
      <w:lang w:val="en-US" w:eastAsia="zh-CN" w:bidi="ar-SA"/>
    </w:rPr>
  </w:style>
  <w:style w:type="character" w:customStyle="1" w:styleId="390">
    <w:name w:val="标题4 Char Char"/>
    <w:qFormat/>
    <w:uiPriority w:val="0"/>
    <w:rPr>
      <w:rFonts w:ascii="Arial" w:hAnsi="Arial"/>
      <w:b/>
      <w:sz w:val="32"/>
      <w:lang w:bidi="ar-SA"/>
    </w:rPr>
  </w:style>
  <w:style w:type="character" w:customStyle="1" w:styleId="391">
    <w:name w:val="正文文本 + 间距 2 pt1"/>
    <w:basedOn w:val="316"/>
    <w:qFormat/>
    <w:uiPriority w:val="99"/>
    <w:rPr>
      <w:rFonts w:ascii="MingLiU" w:eastAsia="MingLiU" w:cs="MingLiU"/>
      <w:spacing w:val="40"/>
      <w:sz w:val="26"/>
      <w:szCs w:val="26"/>
      <w:u w:val="none"/>
      <w:shd w:val="clear" w:color="auto" w:fill="FFFFFF"/>
    </w:rPr>
  </w:style>
  <w:style w:type="character" w:customStyle="1" w:styleId="392">
    <w:name w:val="Variable"/>
    <w:qFormat/>
    <w:uiPriority w:val="99"/>
    <w:rPr>
      <w:i/>
    </w:rPr>
  </w:style>
  <w:style w:type="character" w:customStyle="1" w:styleId="393">
    <w:name w:val="Title Char"/>
    <w:qFormat/>
    <w:uiPriority w:val="0"/>
    <w:rPr>
      <w:rFonts w:ascii="Cambria" w:hAnsi="Cambria"/>
      <w:b/>
      <w:sz w:val="32"/>
      <w:lang w:bidi="ar-SA"/>
    </w:rPr>
  </w:style>
  <w:style w:type="character" w:customStyle="1" w:styleId="394">
    <w:name w:val="Heading 2 Char"/>
    <w:qFormat/>
    <w:uiPriority w:val="0"/>
    <w:rPr>
      <w:rFonts w:ascii="Arial" w:hAnsi="Arial" w:eastAsia="黑体"/>
      <w:b/>
      <w:bCs/>
      <w:sz w:val="32"/>
      <w:szCs w:val="32"/>
      <w:lang w:val="en-US" w:eastAsia="zh-CN" w:bidi="ar-SA"/>
    </w:rPr>
  </w:style>
  <w:style w:type="character" w:customStyle="1" w:styleId="395">
    <w:name w:val="明显强调1"/>
    <w:basedOn w:val="204"/>
    <w:qFormat/>
    <w:uiPriority w:val="0"/>
    <w:rPr>
      <w:b/>
      <w:i/>
      <w:color w:val="4F81BD"/>
    </w:rPr>
  </w:style>
  <w:style w:type="character" w:customStyle="1" w:styleId="396">
    <w:name w:val="Char Char18"/>
    <w:qFormat/>
    <w:uiPriority w:val="0"/>
    <w:rPr>
      <w:rFonts w:ascii="Times New Roman" w:hAnsi="Times New Roman" w:eastAsia="宋体" w:cs="Times New Roman"/>
      <w:b/>
      <w:bCs/>
      <w:sz w:val="28"/>
      <w:szCs w:val="28"/>
    </w:rPr>
  </w:style>
  <w:style w:type="character" w:customStyle="1" w:styleId="397">
    <w:name w:val="Char Char9"/>
    <w:qFormat/>
    <w:uiPriority w:val="0"/>
    <w:rPr>
      <w:rFonts w:eastAsia="宋体"/>
      <w:b/>
      <w:bCs/>
      <w:sz w:val="32"/>
      <w:szCs w:val="44"/>
      <w:lang w:val="en-US" w:eastAsia="zh-CN" w:bidi="ar-SA"/>
    </w:rPr>
  </w:style>
  <w:style w:type="character" w:customStyle="1" w:styleId="398">
    <w:name w:val="标题 2 Char1"/>
    <w:qFormat/>
    <w:uiPriority w:val="0"/>
    <w:rPr>
      <w:rFonts w:ascii="Arial" w:hAnsi="Arial" w:eastAsia="黑体" w:cs="Calibri"/>
      <w:b/>
      <w:sz w:val="32"/>
      <w:szCs w:val="20"/>
    </w:rPr>
  </w:style>
  <w:style w:type="paragraph" w:customStyle="1" w:styleId="399">
    <w:name w:val="xl105"/>
    <w:basedOn w:val="1"/>
    <w:qFormat/>
    <w:uiPriority w:val="0"/>
    <w:pPr>
      <w:widowControl/>
      <w:pBdr>
        <w:top w:val="single" w:color="000000" w:sz="8" w:space="0"/>
        <w:left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rPr>
  </w:style>
  <w:style w:type="paragraph" w:customStyle="1" w:styleId="400">
    <w:name w:val="修订1"/>
    <w:qFormat/>
    <w:uiPriority w:val="0"/>
    <w:rPr>
      <w:rFonts w:hint="default" w:ascii="Times New Roman" w:hAnsi="Times New Roman" w:eastAsia="宋体" w:cs="Times New Roman"/>
      <w:sz w:val="21"/>
      <w:szCs w:val="24"/>
      <w:lang w:val="en-US" w:eastAsia="zh-CN" w:bidi="ar-SA"/>
    </w:rPr>
  </w:style>
  <w:style w:type="paragraph" w:customStyle="1" w:styleId="401">
    <w:name w:val="font7"/>
    <w:basedOn w:val="1"/>
    <w:qFormat/>
    <w:uiPriority w:val="99"/>
    <w:pPr>
      <w:widowControl/>
      <w:spacing w:before="100" w:beforeAutospacing="1" w:after="100" w:afterAutospacing="1"/>
      <w:jc w:val="left"/>
    </w:pPr>
    <w:rPr>
      <w:sz w:val="20"/>
      <w:szCs w:val="20"/>
    </w:rPr>
  </w:style>
  <w:style w:type="paragraph" w:customStyle="1" w:styleId="402">
    <w:name w:val="xl113"/>
    <w:basedOn w:val="1"/>
    <w:qFormat/>
    <w:uiPriority w:val="0"/>
    <w:pPr>
      <w:widowControl/>
      <w:pBdr>
        <w:top w:val="single" w:color="000000" w:sz="8" w:space="0"/>
      </w:pBdr>
      <w:spacing w:before="100" w:beforeAutospacing="1" w:after="100" w:afterAutospacing="1"/>
      <w:jc w:val="right"/>
    </w:pPr>
    <w:rPr>
      <w:rFonts w:ascii="宋体" w:hAnsi="宋体" w:cs="宋体"/>
    </w:rPr>
  </w:style>
  <w:style w:type="paragraph" w:customStyle="1" w:styleId="403">
    <w:name w:val="样式 标题 2 + Times New Roman 四号 非加粗 段前: 5 磅 段后: 0 磅 行距: 固定值 20..."/>
    <w:basedOn w:val="197"/>
    <w:qFormat/>
    <w:uiPriority w:val="0"/>
    <w:pPr>
      <w:spacing w:before="100" w:line="400" w:lineRule="exact"/>
    </w:pPr>
    <w:rPr>
      <w:rFonts w:ascii="Times New Roman" w:hAnsi="Times New Roman" w:eastAsia="黑体" w:cs="宋体"/>
      <w:b w:val="0"/>
      <w:bCs w:val="0"/>
      <w:szCs w:val="20"/>
    </w:rPr>
  </w:style>
  <w:style w:type="paragraph" w:customStyle="1" w:styleId="404">
    <w:name w:val="xl54"/>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rPr>
  </w:style>
  <w:style w:type="paragraph" w:customStyle="1" w:styleId="405">
    <w:name w:val="xl23"/>
    <w:basedOn w:val="1"/>
    <w:qFormat/>
    <w:uiPriority w:val="0"/>
    <w:pPr>
      <w:widowControl/>
      <w:spacing w:before="100" w:beforeAutospacing="1" w:after="100" w:afterAutospacing="1"/>
      <w:jc w:val="left"/>
    </w:pPr>
    <w:rPr>
      <w:rFonts w:ascii="宋体" w:hAnsi="宋体" w:cs="宋体"/>
    </w:rPr>
  </w:style>
  <w:style w:type="paragraph" w:customStyle="1" w:styleId="406">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rPr>
  </w:style>
  <w:style w:type="paragraph" w:customStyle="1" w:styleId="407">
    <w:name w:val="Char Char1 Char Char Char"/>
    <w:basedOn w:val="1"/>
    <w:qFormat/>
    <w:uiPriority w:val="0"/>
    <w:rPr>
      <w:szCs w:val="20"/>
    </w:rPr>
  </w:style>
  <w:style w:type="paragraph" w:customStyle="1" w:styleId="408">
    <w:name w:val="Char Char4 Char"/>
    <w:basedOn w:val="1"/>
    <w:qFormat/>
    <w:uiPriority w:val="0"/>
    <w:pPr>
      <w:ind w:firstLine="200"/>
    </w:pPr>
    <w:rPr>
      <w:rFonts w:ascii="宋体" w:hAnsi="宋体" w:cs="宋体"/>
    </w:rPr>
  </w:style>
  <w:style w:type="paragraph" w:customStyle="1" w:styleId="409">
    <w:name w:val="xl101"/>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rPr>
  </w:style>
  <w:style w:type="paragraph" w:customStyle="1" w:styleId="410">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rPr>
  </w:style>
  <w:style w:type="paragraph" w:customStyle="1" w:styleId="411">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412">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rPr>
  </w:style>
  <w:style w:type="paragraph" w:customStyle="1" w:styleId="413">
    <w:name w:val="font0"/>
    <w:basedOn w:val="1"/>
    <w:qFormat/>
    <w:uiPriority w:val="99"/>
    <w:pPr>
      <w:widowControl/>
      <w:spacing w:before="100" w:beforeAutospacing="1" w:after="100" w:afterAutospacing="1"/>
      <w:jc w:val="left"/>
    </w:pPr>
    <w:rPr>
      <w:rFonts w:ascii="Arial" w:hAnsi="Arial" w:cs="Arial"/>
      <w:sz w:val="20"/>
      <w:szCs w:val="20"/>
    </w:rPr>
  </w:style>
  <w:style w:type="paragraph" w:customStyle="1" w:styleId="414">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rPr>
  </w:style>
  <w:style w:type="paragraph" w:customStyle="1" w:styleId="415">
    <w:name w:val="Address"/>
    <w:basedOn w:val="1"/>
    <w:next w:val="1"/>
    <w:qFormat/>
    <w:uiPriority w:val="99"/>
    <w:pPr>
      <w:jc w:val="left"/>
    </w:pPr>
    <w:rPr>
      <w:i/>
      <w:szCs w:val="20"/>
    </w:rPr>
  </w:style>
  <w:style w:type="paragraph" w:customStyle="1" w:styleId="416">
    <w:name w:val="xl69"/>
    <w:basedOn w:val="1"/>
    <w:qFormat/>
    <w:uiPriority w:val="0"/>
    <w:pPr>
      <w:widowControl/>
      <w:pBdr>
        <w:top w:val="single" w:color="000000" w:sz="8" w:space="0"/>
      </w:pBdr>
      <w:spacing w:before="100" w:beforeAutospacing="1" w:after="100" w:afterAutospacing="1"/>
      <w:jc w:val="left"/>
    </w:pPr>
    <w:rPr>
      <w:rFonts w:ascii="宋体" w:hAnsi="宋体" w:cs="宋体"/>
      <w:color w:val="000000"/>
    </w:rPr>
  </w:style>
  <w:style w:type="paragraph" w:customStyle="1" w:styleId="417">
    <w:name w:val="xl120"/>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18">
    <w:name w:val="xl117"/>
    <w:basedOn w:val="1"/>
    <w:qFormat/>
    <w:uiPriority w:val="0"/>
    <w:pPr>
      <w:widowControl/>
      <w:spacing w:before="100" w:beforeAutospacing="1" w:after="100" w:afterAutospacing="1"/>
      <w:jc w:val="center"/>
    </w:pPr>
    <w:rPr>
      <w:rFonts w:ascii="宋体" w:hAnsi="宋体" w:cs="宋体"/>
    </w:rPr>
  </w:style>
  <w:style w:type="paragraph" w:customStyle="1" w:styleId="419">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20">
    <w:name w:val="xl73"/>
    <w:basedOn w:val="1"/>
    <w:qFormat/>
    <w:uiPriority w:val="0"/>
    <w:pPr>
      <w:widowControl/>
      <w:pBdr>
        <w:top w:val="single" w:color="000000" w:sz="8" w:space="0"/>
      </w:pBdr>
      <w:spacing w:before="100" w:beforeAutospacing="1" w:after="100" w:afterAutospacing="1"/>
      <w:jc w:val="right"/>
    </w:pPr>
    <w:rPr>
      <w:rFonts w:ascii="宋体" w:hAnsi="宋体" w:cs="宋体"/>
    </w:rPr>
  </w:style>
  <w:style w:type="paragraph" w:customStyle="1" w:styleId="421">
    <w:name w:val="xl114"/>
    <w:basedOn w:val="1"/>
    <w:qFormat/>
    <w:uiPriority w:val="0"/>
    <w:pPr>
      <w:widowControl/>
      <w:spacing w:before="100" w:beforeAutospacing="1" w:after="100" w:afterAutospacing="1"/>
      <w:jc w:val="left"/>
    </w:pPr>
    <w:rPr>
      <w:rFonts w:ascii="宋体" w:hAnsi="宋体" w:cs="宋体"/>
      <w:color w:val="000000"/>
    </w:rPr>
  </w:style>
  <w:style w:type="paragraph" w:customStyle="1" w:styleId="42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rPr>
  </w:style>
  <w:style w:type="paragraph" w:customStyle="1" w:styleId="423">
    <w:name w:val="xl5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rPr>
  </w:style>
  <w:style w:type="paragraph" w:customStyle="1" w:styleId="424">
    <w:name w:val="Char Char Char1 Char Char Char Char Char Char Char"/>
    <w:basedOn w:val="1"/>
    <w:qFormat/>
    <w:uiPriority w:val="0"/>
  </w:style>
  <w:style w:type="paragraph" w:customStyle="1" w:styleId="425">
    <w:name w:val="Char1"/>
    <w:basedOn w:val="1"/>
    <w:qFormat/>
    <w:uiPriority w:val="0"/>
    <w:rPr>
      <w:rFonts w:ascii="Tahoma" w:hAnsi="Tahoma"/>
      <w:szCs w:val="20"/>
    </w:rPr>
  </w:style>
  <w:style w:type="paragraph" w:customStyle="1" w:styleId="426">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27">
    <w:name w:val="xl116"/>
    <w:basedOn w:val="1"/>
    <w:qFormat/>
    <w:uiPriority w:val="0"/>
    <w:pPr>
      <w:widowControl/>
      <w:spacing w:before="100" w:beforeAutospacing="1" w:after="100" w:afterAutospacing="1"/>
      <w:jc w:val="left"/>
    </w:pPr>
    <w:rPr>
      <w:rFonts w:ascii="宋体" w:hAnsi="宋体" w:cs="宋体"/>
    </w:rPr>
  </w:style>
  <w:style w:type="paragraph" w:customStyle="1" w:styleId="428">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29">
    <w:name w:val="xl97"/>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left"/>
    </w:pPr>
    <w:rPr>
      <w:rFonts w:ascii="楷体_GB2312" w:hAnsi="宋体" w:eastAsia="楷体_GB2312" w:cs="宋体"/>
      <w:b/>
      <w:bCs/>
    </w:rPr>
  </w:style>
  <w:style w:type="paragraph" w:customStyle="1" w:styleId="430">
    <w:name w:val="xl3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rPr>
  </w:style>
  <w:style w:type="paragraph" w:customStyle="1" w:styleId="431">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rPr>
  </w:style>
  <w:style w:type="paragraph" w:customStyle="1" w:styleId="432">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33">
    <w:name w:val="Char Char Char1 Char Char Char Char Char Char Char1"/>
    <w:basedOn w:val="1"/>
    <w:qFormat/>
    <w:uiPriority w:val="0"/>
  </w:style>
  <w:style w:type="paragraph" w:customStyle="1" w:styleId="434">
    <w:name w:val="Char11"/>
    <w:basedOn w:val="1"/>
    <w:qFormat/>
    <w:uiPriority w:val="0"/>
    <w:rPr>
      <w:szCs w:val="21"/>
    </w:rPr>
  </w:style>
  <w:style w:type="paragraph" w:customStyle="1" w:styleId="435">
    <w:name w:val="char"/>
    <w:basedOn w:val="1"/>
    <w:qFormat/>
    <w:uiPriority w:val="0"/>
    <w:pPr>
      <w:widowControl/>
      <w:spacing w:before="100" w:beforeAutospacing="1" w:after="100" w:afterAutospacing="1"/>
      <w:jc w:val="left"/>
    </w:pPr>
    <w:rPr>
      <w:rFonts w:ascii="宋体" w:hAnsi="宋体" w:cs="宋体"/>
    </w:rPr>
  </w:style>
  <w:style w:type="paragraph" w:customStyle="1" w:styleId="436">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37">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8">
    <w:name w:val="正文(其它)"/>
    <w:basedOn w:val="1"/>
    <w:qFormat/>
    <w:uiPriority w:val="0"/>
    <w:pPr>
      <w:spacing w:line="312" w:lineRule="auto"/>
      <w:jc w:val="center"/>
    </w:pPr>
    <w:rPr>
      <w:rFonts w:ascii="黑体" w:eastAsia="黑体"/>
      <w:sz w:val="32"/>
      <w:szCs w:val="32"/>
    </w:rPr>
  </w:style>
  <w:style w:type="paragraph" w:customStyle="1" w:styleId="439">
    <w:name w:val="xl118"/>
    <w:basedOn w:val="1"/>
    <w:qFormat/>
    <w:uiPriority w:val="0"/>
    <w:pPr>
      <w:widowControl/>
      <w:spacing w:before="100" w:beforeAutospacing="1" w:after="100" w:afterAutospacing="1"/>
      <w:jc w:val="right"/>
    </w:pPr>
    <w:rPr>
      <w:rFonts w:ascii="宋体" w:hAnsi="宋体" w:cs="宋体"/>
    </w:rPr>
  </w:style>
  <w:style w:type="paragraph" w:customStyle="1" w:styleId="440">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rPr>
  </w:style>
  <w:style w:type="paragraph" w:customStyle="1" w:styleId="44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rPr>
  </w:style>
  <w:style w:type="paragraph" w:customStyle="1" w:styleId="442">
    <w:name w:val="xl26"/>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43">
    <w:name w:val="xl112"/>
    <w:basedOn w:val="1"/>
    <w:qFormat/>
    <w:uiPriority w:val="0"/>
    <w:pPr>
      <w:widowControl/>
      <w:pBdr>
        <w:top w:val="single" w:color="000000" w:sz="8" w:space="0"/>
      </w:pBdr>
      <w:spacing w:before="100" w:beforeAutospacing="1" w:after="100" w:afterAutospacing="1"/>
      <w:jc w:val="center"/>
    </w:pPr>
    <w:rPr>
      <w:rFonts w:ascii="宋体" w:hAnsi="宋体" w:cs="宋体"/>
    </w:rPr>
  </w:style>
  <w:style w:type="paragraph" w:customStyle="1" w:styleId="444">
    <w:name w:val="列出段落2"/>
    <w:basedOn w:val="1"/>
    <w:qFormat/>
    <w:uiPriority w:val="0"/>
    <w:pPr>
      <w:ind w:firstLine="420"/>
    </w:pPr>
  </w:style>
  <w:style w:type="paragraph" w:customStyle="1" w:styleId="445">
    <w:name w:val="xl100"/>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rPr>
  </w:style>
  <w:style w:type="paragraph" w:customStyle="1" w:styleId="446">
    <w:name w:val="标题_0"/>
    <w:basedOn w:val="447"/>
    <w:qFormat/>
    <w:uiPriority w:val="0"/>
    <w:pPr>
      <w:spacing w:before="120" w:after="120" w:line="360" w:lineRule="auto"/>
      <w:jc w:val="center"/>
      <w:outlineLvl w:val="0"/>
    </w:pPr>
    <w:rPr>
      <w:rFonts w:ascii="黑体" w:hAnsi="Arial" w:eastAsia="黑体"/>
      <w:b/>
      <w:bCs/>
      <w:sz w:val="32"/>
      <w:szCs w:val="32"/>
    </w:rPr>
  </w:style>
  <w:style w:type="paragraph" w:customStyle="1" w:styleId="447">
    <w:name w:val="正文_1"/>
    <w:qFormat/>
    <w:uiPriority w:val="0"/>
    <w:rPr>
      <w:rFonts w:hint="default" w:ascii="Times New Roman" w:hAnsi="Times New Roman" w:eastAsia="宋体" w:cs="Times New Roman"/>
      <w:sz w:val="21"/>
      <w:szCs w:val="22"/>
      <w:lang w:val="en-US" w:eastAsia="zh-CN" w:bidi="ar-SA"/>
    </w:rPr>
  </w:style>
  <w:style w:type="paragraph" w:customStyle="1" w:styleId="448">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rPr>
  </w:style>
  <w:style w:type="paragraph" w:customStyle="1" w:styleId="449">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50">
    <w:name w:val="xl22"/>
    <w:basedOn w:val="1"/>
    <w:qFormat/>
    <w:uiPriority w:val="0"/>
    <w:pPr>
      <w:widowControl/>
      <w:spacing w:before="100" w:beforeAutospacing="1" w:after="100" w:afterAutospacing="1"/>
      <w:jc w:val="center"/>
    </w:pPr>
    <w:rPr>
      <w:rFonts w:ascii="宋体" w:hAnsi="宋体" w:cs="宋体"/>
    </w:rPr>
  </w:style>
  <w:style w:type="paragraph" w:customStyle="1" w:styleId="45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rPr>
  </w:style>
  <w:style w:type="paragraph" w:customStyle="1" w:styleId="452">
    <w:name w:val="1"/>
    <w:basedOn w:val="1"/>
    <w:next w:val="1"/>
    <w:qFormat/>
    <w:uiPriority w:val="0"/>
  </w:style>
  <w:style w:type="paragraph" w:customStyle="1" w:styleId="453">
    <w:name w:val="Char31"/>
    <w:basedOn w:val="1"/>
    <w:qFormat/>
    <w:uiPriority w:val="0"/>
    <w:rPr>
      <w:rFonts w:ascii="Tahoma" w:hAnsi="Tahoma"/>
    </w:rPr>
  </w:style>
  <w:style w:type="paragraph" w:customStyle="1" w:styleId="454">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rPr>
  </w:style>
  <w:style w:type="paragraph" w:customStyle="1" w:styleId="455">
    <w:name w:val="p0"/>
    <w:basedOn w:val="1"/>
    <w:qFormat/>
    <w:uiPriority w:val="0"/>
    <w:pPr>
      <w:widowControl/>
      <w:spacing w:before="100" w:beforeAutospacing="1" w:after="100" w:afterAutospacing="1"/>
      <w:jc w:val="left"/>
    </w:pPr>
    <w:rPr>
      <w:rFonts w:ascii="宋体" w:hAnsi="宋体" w:cs="宋体"/>
    </w:rPr>
  </w:style>
  <w:style w:type="paragraph" w:customStyle="1" w:styleId="456">
    <w:name w:val="xl93"/>
    <w:basedOn w:val="1"/>
    <w:qFormat/>
    <w:uiPriority w:val="0"/>
    <w:pPr>
      <w:widowControl/>
      <w:spacing w:before="100" w:beforeAutospacing="1" w:after="100" w:afterAutospacing="1"/>
      <w:jc w:val="left"/>
    </w:pPr>
    <w:rPr>
      <w:rFonts w:ascii="楷体_GB2312" w:hAnsi="宋体" w:eastAsia="楷体_GB2312" w:cs="宋体"/>
      <w:b/>
      <w:bCs/>
    </w:rPr>
  </w:style>
  <w:style w:type="paragraph" w:customStyle="1" w:styleId="457">
    <w:name w:val="_Style 37"/>
    <w:basedOn w:val="1"/>
    <w:next w:val="1"/>
    <w:qFormat/>
    <w:uiPriority w:val="0"/>
  </w:style>
  <w:style w:type="paragraph" w:customStyle="1" w:styleId="458">
    <w:name w:val="Char Char Char Char1 Char Char Char"/>
    <w:basedOn w:val="1"/>
    <w:qFormat/>
    <w:uiPriority w:val="0"/>
    <w:rPr>
      <w:rFonts w:ascii="Tahoma" w:hAnsi="Tahoma"/>
      <w:szCs w:val="20"/>
    </w:rPr>
  </w:style>
  <w:style w:type="paragraph" w:customStyle="1" w:styleId="459">
    <w:name w:val="xl91"/>
    <w:basedOn w:val="1"/>
    <w:qFormat/>
    <w:uiPriority w:val="0"/>
    <w:pPr>
      <w:widowControl/>
      <w:spacing w:before="100" w:beforeAutospacing="1" w:after="100" w:afterAutospacing="1"/>
      <w:jc w:val="left"/>
    </w:pPr>
    <w:rPr>
      <w:rFonts w:ascii="楷体_GB2312" w:hAnsi="宋体" w:eastAsia="楷体_GB2312" w:cs="宋体"/>
      <w:b/>
      <w:bCs/>
      <w:color w:val="000000"/>
    </w:rPr>
  </w:style>
  <w:style w:type="paragraph" w:customStyle="1" w:styleId="460">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61">
    <w:name w:val="Char Char Char Char Char Char Char"/>
    <w:basedOn w:val="1"/>
    <w:qFormat/>
    <w:uiPriority w:val="0"/>
    <w:pPr>
      <w:widowControl/>
      <w:spacing w:after="160" w:line="240" w:lineRule="exact"/>
      <w:jc w:val="left"/>
    </w:pPr>
  </w:style>
  <w:style w:type="paragraph" w:customStyle="1" w:styleId="462">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63">
    <w:name w:val="xl43"/>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464">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65">
    <w:name w:val="Char Char1 Char Char Char Char Char Char Char Char Char Char"/>
    <w:basedOn w:val="1"/>
    <w:qFormat/>
    <w:uiPriority w:val="0"/>
    <w:rPr>
      <w:rFonts w:ascii="Tahoma" w:hAnsi="Tahoma"/>
      <w:szCs w:val="20"/>
    </w:rPr>
  </w:style>
  <w:style w:type="paragraph" w:customStyle="1" w:styleId="466">
    <w:name w:val="xl95"/>
    <w:basedOn w:val="1"/>
    <w:qFormat/>
    <w:uiPriority w:val="0"/>
    <w:pPr>
      <w:widowControl/>
      <w:pBdr>
        <w:bottom w:val="single" w:color="000000" w:sz="8" w:space="0"/>
      </w:pBdr>
      <w:spacing w:before="100" w:beforeAutospacing="1" w:after="100" w:afterAutospacing="1"/>
      <w:jc w:val="right"/>
    </w:pPr>
    <w:rPr>
      <w:rFonts w:ascii="楷体_GB2312" w:hAnsi="宋体" w:eastAsia="楷体_GB2312" w:cs="宋体"/>
      <w:b/>
      <w:bCs/>
      <w:color w:val="000000"/>
    </w:rPr>
  </w:style>
  <w:style w:type="paragraph" w:customStyle="1" w:styleId="467">
    <w:name w:val="xl25"/>
    <w:basedOn w:val="1"/>
    <w:qFormat/>
    <w:uiPriority w:val="99"/>
    <w:pPr>
      <w:widowControl/>
      <w:spacing w:before="100" w:beforeAutospacing="1" w:after="100" w:afterAutospacing="1"/>
      <w:jc w:val="center"/>
    </w:pPr>
    <w:rPr>
      <w:rFonts w:ascii="宋体" w:hAnsi="宋体" w:cs="宋体"/>
      <w:b/>
      <w:bCs/>
      <w:sz w:val="38"/>
      <w:szCs w:val="38"/>
    </w:rPr>
  </w:style>
  <w:style w:type="paragraph" w:customStyle="1" w:styleId="468">
    <w:name w:val="Char Char1 Char"/>
    <w:basedOn w:val="1"/>
    <w:qFormat/>
    <w:uiPriority w:val="0"/>
    <w:rPr>
      <w:rFonts w:ascii="Tahoma" w:hAnsi="Tahoma"/>
      <w:szCs w:val="20"/>
    </w:rPr>
  </w:style>
  <w:style w:type="paragraph" w:customStyle="1" w:styleId="469">
    <w:name w:val="默认段落字体 Para Char Char Char Char Char Char Char Char Char Char"/>
    <w:basedOn w:val="1"/>
    <w:qFormat/>
    <w:uiPriority w:val="0"/>
    <w:rPr>
      <w:rFonts w:ascii="Tahoma" w:hAnsi="Tahoma"/>
      <w:szCs w:val="20"/>
    </w:rPr>
  </w:style>
  <w:style w:type="paragraph" w:customStyle="1" w:styleId="470">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71">
    <w:name w:val="xl111"/>
    <w:basedOn w:val="1"/>
    <w:qFormat/>
    <w:uiPriority w:val="0"/>
    <w:pPr>
      <w:widowControl/>
      <w:pBdr>
        <w:top w:val="single" w:color="000000" w:sz="8" w:space="0"/>
      </w:pBdr>
      <w:spacing w:before="100" w:beforeAutospacing="1" w:after="100" w:afterAutospacing="1"/>
      <w:jc w:val="left"/>
    </w:pPr>
    <w:rPr>
      <w:rFonts w:ascii="宋体" w:hAnsi="宋体" w:cs="宋体"/>
    </w:rPr>
  </w:style>
  <w:style w:type="paragraph" w:customStyle="1" w:styleId="472">
    <w:name w:val="2-2ji"/>
    <w:basedOn w:val="197"/>
    <w:qFormat/>
    <w:uiPriority w:val="0"/>
    <w:pPr>
      <w:jc w:val="center"/>
    </w:pPr>
    <w:rPr>
      <w:rFonts w:ascii="宋体" w:hAnsi="宋体"/>
      <w:sz w:val="36"/>
      <w:szCs w:val="24"/>
    </w:rPr>
  </w:style>
  <w:style w:type="paragraph" w:customStyle="1" w:styleId="473">
    <w:name w:val="xl75"/>
    <w:basedOn w:val="1"/>
    <w:qFormat/>
    <w:uiPriority w:val="0"/>
    <w:pPr>
      <w:widowControl/>
      <w:spacing w:before="100" w:beforeAutospacing="1" w:after="100" w:afterAutospacing="1"/>
      <w:jc w:val="center"/>
    </w:pPr>
    <w:rPr>
      <w:rFonts w:ascii="宋体" w:hAnsi="宋体" w:cs="宋体"/>
    </w:rPr>
  </w:style>
  <w:style w:type="paragraph" w:customStyle="1" w:styleId="474">
    <w:name w:val="普通(Web)1"/>
    <w:basedOn w:val="1"/>
    <w:qFormat/>
    <w:uiPriority w:val="0"/>
    <w:pPr>
      <w:widowControl/>
      <w:spacing w:after="120" w:line="360" w:lineRule="atLeast"/>
      <w:ind w:firstLine="360"/>
      <w:jc w:val="left"/>
    </w:pPr>
    <w:rPr>
      <w:rFonts w:ascii="宋体" w:hAnsi="宋体" w:cs="宋体"/>
      <w:sz w:val="20"/>
      <w:szCs w:val="20"/>
    </w:rPr>
  </w:style>
  <w:style w:type="paragraph" w:customStyle="1" w:styleId="475">
    <w:name w:val="xl8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rPr>
  </w:style>
  <w:style w:type="paragraph" w:customStyle="1" w:styleId="476">
    <w:name w:val="Blockquote"/>
    <w:basedOn w:val="1"/>
    <w:qFormat/>
    <w:uiPriority w:val="99"/>
    <w:pPr>
      <w:spacing w:before="100" w:after="100"/>
      <w:ind w:left="360" w:right="360"/>
      <w:jc w:val="left"/>
    </w:pPr>
    <w:rPr>
      <w:szCs w:val="20"/>
    </w:rPr>
  </w:style>
  <w:style w:type="paragraph" w:customStyle="1" w:styleId="477">
    <w:name w:val="xl8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rPr>
  </w:style>
  <w:style w:type="paragraph" w:customStyle="1" w:styleId="478">
    <w:name w:val="xl99"/>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rPr>
  </w:style>
  <w:style w:type="paragraph" w:customStyle="1" w:styleId="479">
    <w:name w:val="Char Char Char Char"/>
    <w:basedOn w:val="1"/>
    <w:qFormat/>
    <w:uiPriority w:val="0"/>
    <w:rPr>
      <w:rFonts w:ascii="Tahoma" w:hAnsi="Tahoma"/>
      <w:szCs w:val="20"/>
    </w:rPr>
  </w:style>
  <w:style w:type="paragraph" w:customStyle="1" w:styleId="480">
    <w:name w:val="xl104"/>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rPr>
  </w:style>
  <w:style w:type="paragraph" w:customStyle="1" w:styleId="481">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82">
    <w:name w:val="xl77"/>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83">
    <w:name w:val="xl37"/>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484">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rPr>
  </w:style>
  <w:style w:type="paragraph" w:customStyle="1" w:styleId="485">
    <w:name w:val="xl24"/>
    <w:basedOn w:val="1"/>
    <w:qFormat/>
    <w:uiPriority w:val="99"/>
    <w:pPr>
      <w:widowControl/>
      <w:spacing w:before="100" w:beforeAutospacing="1" w:after="100" w:afterAutospacing="1"/>
      <w:jc w:val="left"/>
    </w:pPr>
    <w:rPr>
      <w:rFonts w:ascii="宋体" w:hAnsi="宋体" w:cs="宋体"/>
    </w:rPr>
  </w:style>
  <w:style w:type="paragraph" w:customStyle="1" w:styleId="486">
    <w:name w:val="xl98"/>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rPr>
  </w:style>
  <w:style w:type="paragraph" w:customStyle="1" w:styleId="487">
    <w:name w:val="xl65"/>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rPr>
  </w:style>
  <w:style w:type="paragraph" w:customStyle="1" w:styleId="488">
    <w:name w:val="xl49"/>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rPr>
  </w:style>
  <w:style w:type="paragraph" w:styleId="489">
    <w:name w:val="List Paragraph"/>
    <w:basedOn w:val="1"/>
    <w:qFormat/>
    <w:uiPriority w:val="34"/>
    <w:pPr>
      <w:ind w:firstLine="420"/>
    </w:pPr>
    <w:rPr>
      <w:rFonts w:hint="eastAsia"/>
      <w:szCs w:val="21"/>
    </w:rPr>
  </w:style>
  <w:style w:type="paragraph" w:customStyle="1" w:styleId="490">
    <w:name w:val="xl76"/>
    <w:basedOn w:val="1"/>
    <w:qFormat/>
    <w:uiPriority w:val="0"/>
    <w:pPr>
      <w:widowControl/>
      <w:spacing w:before="100" w:beforeAutospacing="1" w:after="100" w:afterAutospacing="1"/>
      <w:jc w:val="right"/>
    </w:pPr>
    <w:rPr>
      <w:rFonts w:ascii="宋体" w:hAnsi="宋体" w:cs="宋体"/>
    </w:rPr>
  </w:style>
  <w:style w:type="paragraph" w:customStyle="1" w:styleId="491">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492">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rPr>
  </w:style>
  <w:style w:type="paragraph" w:customStyle="1" w:styleId="493">
    <w:name w:val="xl96"/>
    <w:basedOn w:val="1"/>
    <w:qFormat/>
    <w:uiPriority w:val="0"/>
    <w:pPr>
      <w:widowControl/>
      <w:pBdr>
        <w:bottom w:val="single" w:color="000000" w:sz="8" w:space="0"/>
        <w:right w:val="single" w:color="000000" w:sz="4" w:space="0"/>
      </w:pBdr>
      <w:spacing w:before="100" w:beforeAutospacing="1" w:after="100" w:afterAutospacing="1"/>
      <w:jc w:val="left"/>
    </w:pPr>
    <w:rPr>
      <w:rFonts w:ascii="楷体_GB2312" w:hAnsi="宋体" w:eastAsia="楷体_GB2312" w:cs="宋体"/>
      <w:b/>
      <w:bCs/>
    </w:rPr>
  </w:style>
  <w:style w:type="paragraph" w:customStyle="1" w:styleId="49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495">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96">
    <w:name w:val="xl102"/>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rPr>
  </w:style>
  <w:style w:type="paragraph" w:customStyle="1" w:styleId="497">
    <w:name w:val="font6"/>
    <w:basedOn w:val="1"/>
    <w:qFormat/>
    <w:uiPriority w:val="99"/>
    <w:pPr>
      <w:widowControl/>
      <w:spacing w:before="100" w:beforeAutospacing="1" w:after="100" w:afterAutospacing="1"/>
      <w:jc w:val="left"/>
    </w:pPr>
    <w:rPr>
      <w:rFonts w:ascii="宋体" w:hAnsi="宋体" w:cs="Arial Unicode MS"/>
      <w:sz w:val="18"/>
      <w:szCs w:val="18"/>
    </w:rPr>
  </w:style>
  <w:style w:type="paragraph" w:customStyle="1" w:styleId="498">
    <w:name w:val="xl70"/>
    <w:basedOn w:val="1"/>
    <w:qFormat/>
    <w:uiPriority w:val="0"/>
    <w:pPr>
      <w:widowControl/>
      <w:pBdr>
        <w:top w:val="single" w:color="000000" w:sz="8" w:space="0"/>
      </w:pBdr>
      <w:spacing w:before="100" w:beforeAutospacing="1" w:after="100" w:afterAutospacing="1"/>
      <w:jc w:val="left"/>
    </w:pPr>
    <w:rPr>
      <w:rFonts w:ascii="宋体" w:hAnsi="宋体" w:cs="宋体"/>
    </w:rPr>
  </w:style>
  <w:style w:type="paragraph" w:customStyle="1" w:styleId="499">
    <w:name w:val="Char2"/>
    <w:basedOn w:val="1"/>
    <w:qFormat/>
    <w:uiPriority w:val="99"/>
  </w:style>
  <w:style w:type="paragraph" w:customStyle="1" w:styleId="500">
    <w:name w:val="xl92"/>
    <w:basedOn w:val="1"/>
    <w:qFormat/>
    <w:uiPriority w:val="0"/>
    <w:pPr>
      <w:widowControl/>
      <w:spacing w:before="100" w:beforeAutospacing="1" w:after="100" w:afterAutospacing="1"/>
      <w:jc w:val="left"/>
    </w:pPr>
    <w:rPr>
      <w:rFonts w:ascii="楷体_GB2312" w:hAnsi="宋体" w:eastAsia="楷体_GB2312" w:cs="宋体"/>
      <w:b/>
      <w:bCs/>
    </w:rPr>
  </w:style>
  <w:style w:type="paragraph" w:customStyle="1" w:styleId="501">
    <w:name w:val="xl32"/>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502">
    <w:name w:val="xl115"/>
    <w:basedOn w:val="1"/>
    <w:qFormat/>
    <w:uiPriority w:val="0"/>
    <w:pPr>
      <w:widowControl/>
      <w:spacing w:before="100" w:beforeAutospacing="1" w:after="100" w:afterAutospacing="1"/>
      <w:jc w:val="left"/>
    </w:pPr>
    <w:rPr>
      <w:rFonts w:ascii="宋体" w:hAnsi="宋体" w:cs="宋体"/>
    </w:rPr>
  </w:style>
  <w:style w:type="paragraph" w:customStyle="1" w:styleId="503">
    <w:name w:val="xl72"/>
    <w:basedOn w:val="1"/>
    <w:qFormat/>
    <w:uiPriority w:val="0"/>
    <w:pPr>
      <w:widowControl/>
      <w:pBdr>
        <w:top w:val="single" w:color="000000" w:sz="8" w:space="0"/>
      </w:pBdr>
      <w:spacing w:before="100" w:beforeAutospacing="1" w:after="100" w:afterAutospacing="1"/>
      <w:jc w:val="center"/>
    </w:pPr>
    <w:rPr>
      <w:rFonts w:ascii="宋体" w:hAnsi="宋体" w:cs="宋体"/>
    </w:rPr>
  </w:style>
  <w:style w:type="paragraph" w:customStyle="1" w:styleId="504">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505">
    <w:name w:val="TOC 标题1"/>
    <w:basedOn w:val="193"/>
    <w:next w:val="1"/>
    <w:qFormat/>
    <w:uiPriority w:val="0"/>
    <w:pPr>
      <w:spacing w:before="340" w:after="330" w:line="576" w:lineRule="auto"/>
      <w:jc w:val="both"/>
      <w:outlineLvl w:val="9"/>
    </w:pPr>
    <w:rPr>
      <w:rFonts w:ascii="Calibri" w:hAnsi="Calibri"/>
      <w:sz w:val="44"/>
    </w:rPr>
  </w:style>
  <w:style w:type="paragraph" w:customStyle="1" w:styleId="506">
    <w:name w:val="Char Char Char Char1"/>
    <w:basedOn w:val="1"/>
    <w:semiHidden/>
    <w:qFormat/>
    <w:uiPriority w:val="0"/>
    <w:pPr>
      <w:widowControl/>
      <w:spacing w:after="160" w:line="240" w:lineRule="exact"/>
      <w:jc w:val="left"/>
    </w:pPr>
    <w:rPr>
      <w:rFonts w:ascii="Verdana" w:hAnsi="Verdana"/>
      <w:sz w:val="20"/>
      <w:szCs w:val="20"/>
      <w:lang w:eastAsia="en-US"/>
    </w:rPr>
  </w:style>
  <w:style w:type="paragraph" w:customStyle="1" w:styleId="507">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color w:val="000000"/>
    </w:rPr>
  </w:style>
  <w:style w:type="paragraph" w:customStyle="1" w:styleId="508">
    <w:name w:val="xl87"/>
    <w:basedOn w:val="1"/>
    <w:qFormat/>
    <w:uiPriority w:val="0"/>
    <w:pPr>
      <w:widowControl/>
      <w:spacing w:before="100" w:beforeAutospacing="1" w:after="100" w:afterAutospacing="1"/>
      <w:jc w:val="left"/>
    </w:pPr>
    <w:rPr>
      <w:rFonts w:ascii="宋体" w:hAnsi="宋体" w:cs="宋体"/>
    </w:rPr>
  </w:style>
  <w:style w:type="paragraph" w:customStyle="1" w:styleId="509">
    <w:name w:val="xl55"/>
    <w:basedOn w:val="1"/>
    <w:qFormat/>
    <w:uiPriority w:val="0"/>
    <w:pPr>
      <w:widowControl/>
      <w:spacing w:before="100" w:beforeAutospacing="1" w:after="100" w:afterAutospacing="1"/>
      <w:jc w:val="center"/>
    </w:pPr>
    <w:rPr>
      <w:rFonts w:ascii="宋体" w:hAnsi="宋体" w:cs="宋体"/>
    </w:rPr>
  </w:style>
  <w:style w:type="paragraph" w:customStyle="1" w:styleId="510">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511">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512">
    <w:name w:val="xl90"/>
    <w:basedOn w:val="1"/>
    <w:qFormat/>
    <w:uiPriority w:val="0"/>
    <w:pPr>
      <w:widowControl/>
      <w:spacing w:before="100" w:beforeAutospacing="1" w:after="100" w:afterAutospacing="1"/>
      <w:jc w:val="center"/>
    </w:pPr>
    <w:rPr>
      <w:rFonts w:ascii="宋体" w:hAnsi="宋体" w:cs="宋体"/>
    </w:rPr>
  </w:style>
  <w:style w:type="paragraph" w:customStyle="1" w:styleId="513">
    <w:name w:val="Char Char5 Char"/>
    <w:basedOn w:val="1"/>
    <w:qFormat/>
    <w:uiPriority w:val="0"/>
    <w:rPr>
      <w:szCs w:val="20"/>
    </w:rPr>
  </w:style>
  <w:style w:type="paragraph" w:customStyle="1" w:styleId="514">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515">
    <w:name w:val="reader-word-layer"/>
    <w:basedOn w:val="1"/>
    <w:qFormat/>
    <w:uiPriority w:val="0"/>
    <w:pPr>
      <w:widowControl/>
      <w:spacing w:before="100" w:beforeAutospacing="1" w:after="100" w:afterAutospacing="1"/>
      <w:jc w:val="left"/>
    </w:pPr>
    <w:rPr>
      <w:rFonts w:ascii="宋体" w:hAnsi="宋体" w:cs="宋体"/>
    </w:rPr>
  </w:style>
  <w:style w:type="paragraph" w:customStyle="1" w:styleId="516">
    <w:name w:val="xl4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rPr>
  </w:style>
  <w:style w:type="paragraph" w:customStyle="1" w:styleId="517">
    <w:name w:val="样式1"/>
    <w:basedOn w:val="1"/>
    <w:next w:val="195"/>
    <w:qFormat/>
    <w:uiPriority w:val="0"/>
    <w:pPr>
      <w:ind w:firstLine="420"/>
    </w:pPr>
    <w:rPr>
      <w:rFonts w:ascii="宋体" w:hAnsi="宋体"/>
      <w:szCs w:val="21"/>
    </w:rPr>
  </w:style>
  <w:style w:type="paragraph" w:customStyle="1" w:styleId="518">
    <w:name w:val="xl6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rPr>
  </w:style>
  <w:style w:type="paragraph" w:customStyle="1" w:styleId="519">
    <w:name w:val="xl42"/>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b/>
      <w:bCs/>
    </w:rPr>
  </w:style>
  <w:style w:type="paragraph" w:customStyle="1" w:styleId="520">
    <w:name w:val="xl88"/>
    <w:basedOn w:val="1"/>
    <w:qFormat/>
    <w:uiPriority w:val="0"/>
    <w:pPr>
      <w:widowControl/>
      <w:spacing w:before="100" w:beforeAutospacing="1" w:after="100" w:afterAutospacing="1"/>
      <w:jc w:val="left"/>
    </w:pPr>
    <w:rPr>
      <w:rFonts w:ascii="宋体" w:hAnsi="宋体" w:cs="宋体"/>
    </w:rPr>
  </w:style>
  <w:style w:type="paragraph" w:customStyle="1" w:styleId="521">
    <w:name w:val="Char4"/>
    <w:basedOn w:val="1"/>
    <w:qFormat/>
    <w:uiPriority w:val="0"/>
    <w:pPr>
      <w:widowControl/>
      <w:spacing w:after="160" w:line="240" w:lineRule="exact"/>
      <w:jc w:val="left"/>
    </w:pPr>
    <w:rPr>
      <w:rFonts w:ascii="Arial" w:hAnsi="Arial" w:eastAsia="Times New Roman" w:cs="Verdana"/>
      <w:b/>
      <w:szCs w:val="20"/>
      <w:lang w:eastAsia="en-US"/>
    </w:rPr>
  </w:style>
  <w:style w:type="paragraph" w:customStyle="1" w:styleId="522">
    <w:name w:val="正文缩进_0"/>
    <w:basedOn w:val="447"/>
    <w:qFormat/>
    <w:uiPriority w:val="0"/>
    <w:pPr>
      <w:widowControl w:val="0"/>
      <w:ind w:firstLine="420"/>
      <w:jc w:val="both"/>
    </w:pPr>
    <w:rPr>
      <w:u w:val="single"/>
    </w:rPr>
  </w:style>
  <w:style w:type="paragraph" w:customStyle="1" w:styleId="523">
    <w:name w:val="标题 1_0"/>
    <w:basedOn w:val="437"/>
    <w:next w:val="437"/>
    <w:qFormat/>
    <w:uiPriority w:val="0"/>
    <w:pPr>
      <w:keepNext/>
      <w:keepLines/>
      <w:spacing w:before="340" w:after="330" w:line="576" w:lineRule="auto"/>
      <w:outlineLvl w:val="0"/>
    </w:pPr>
    <w:rPr>
      <w:rFonts w:ascii="Times New Roman" w:hAnsi="Times New Roman"/>
      <w:b/>
      <w:bCs/>
      <w:sz w:val="44"/>
      <w:szCs w:val="44"/>
    </w:rPr>
  </w:style>
  <w:style w:type="paragraph" w:customStyle="1" w:styleId="524">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5">
    <w:name w:val="xl6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rPr>
  </w:style>
  <w:style w:type="paragraph" w:customStyle="1" w:styleId="526">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7">
    <w:name w:val="xl67"/>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rPr>
  </w:style>
  <w:style w:type="paragraph" w:customStyle="1" w:styleId="52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rPr>
  </w:style>
  <w:style w:type="paragraph" w:customStyle="1" w:styleId="529">
    <w:name w:val="xl89"/>
    <w:basedOn w:val="1"/>
    <w:qFormat/>
    <w:uiPriority w:val="0"/>
    <w:pPr>
      <w:widowControl/>
      <w:spacing w:before="100" w:beforeAutospacing="1" w:after="100" w:afterAutospacing="1"/>
      <w:jc w:val="center"/>
    </w:pPr>
    <w:rPr>
      <w:rFonts w:ascii="宋体" w:hAnsi="宋体" w:cs="宋体"/>
    </w:rPr>
  </w:style>
  <w:style w:type="paragraph" w:customStyle="1" w:styleId="530">
    <w:name w:val="默认段落字体 Para Char Char Char Char"/>
    <w:basedOn w:val="1"/>
    <w:qFormat/>
    <w:uiPriority w:val="0"/>
    <w:rPr>
      <w:sz w:val="30"/>
      <w:szCs w:val="21"/>
    </w:rPr>
  </w:style>
  <w:style w:type="paragraph" w:customStyle="1" w:styleId="531">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rPr>
  </w:style>
  <w:style w:type="paragraph" w:customStyle="1" w:styleId="53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533">
    <w:name w:val="标题 4_0"/>
    <w:basedOn w:val="437"/>
    <w:next w:val="437"/>
    <w:qFormat/>
    <w:uiPriority w:val="0"/>
    <w:pPr>
      <w:keepNext/>
      <w:keepLines/>
      <w:spacing w:before="280" w:after="290" w:line="372" w:lineRule="auto"/>
      <w:outlineLvl w:val="3"/>
    </w:pPr>
    <w:rPr>
      <w:rFonts w:ascii="Cambria" w:hAnsi="Cambria"/>
      <w:b/>
      <w:bCs/>
      <w:sz w:val="28"/>
      <w:szCs w:val="28"/>
    </w:rPr>
  </w:style>
  <w:style w:type="paragraph" w:customStyle="1" w:styleId="534">
    <w:name w:val="Char Char4 Char1"/>
    <w:basedOn w:val="1"/>
    <w:qFormat/>
    <w:uiPriority w:val="0"/>
    <w:pPr>
      <w:ind w:firstLine="200"/>
    </w:pPr>
    <w:rPr>
      <w:rFonts w:ascii="宋体" w:hAnsi="宋体" w:cs="宋体"/>
    </w:rPr>
  </w:style>
  <w:style w:type="paragraph" w:customStyle="1" w:styleId="535">
    <w:name w:val="font8"/>
    <w:basedOn w:val="1"/>
    <w:qFormat/>
    <w:uiPriority w:val="99"/>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36">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rPr>
  </w:style>
  <w:style w:type="paragraph" w:customStyle="1" w:styleId="537">
    <w:name w:val="xl74"/>
    <w:basedOn w:val="1"/>
    <w:qFormat/>
    <w:uiPriority w:val="0"/>
    <w:pPr>
      <w:widowControl/>
      <w:spacing w:before="100" w:beforeAutospacing="1" w:after="100" w:afterAutospacing="1"/>
      <w:jc w:val="left"/>
    </w:pPr>
    <w:rPr>
      <w:rFonts w:ascii="宋体" w:hAnsi="宋体" w:cs="宋体"/>
      <w:color w:val="000000"/>
    </w:rPr>
  </w:style>
  <w:style w:type="paragraph" w:customStyle="1" w:styleId="538">
    <w:name w:val="xl110"/>
    <w:basedOn w:val="1"/>
    <w:qFormat/>
    <w:uiPriority w:val="0"/>
    <w:pPr>
      <w:widowControl/>
      <w:pBdr>
        <w:top w:val="single" w:color="000000" w:sz="8" w:space="0"/>
      </w:pBdr>
      <w:spacing w:before="100" w:beforeAutospacing="1" w:after="100" w:afterAutospacing="1"/>
      <w:jc w:val="left"/>
    </w:pPr>
    <w:rPr>
      <w:rFonts w:ascii="宋体" w:hAnsi="宋体" w:cs="宋体"/>
    </w:rPr>
  </w:style>
  <w:style w:type="paragraph" w:customStyle="1" w:styleId="539">
    <w:name w:val="flNote"/>
    <w:basedOn w:val="1"/>
    <w:qFormat/>
    <w:uiPriority w:val="0"/>
    <w:pPr>
      <w:spacing w:before="320" w:after="160" w:line="360" w:lineRule="atLeast"/>
      <w:jc w:val="center"/>
    </w:pPr>
    <w:rPr>
      <w:rFonts w:ascii="Arial" w:eastAsia="黑体"/>
      <w:sz w:val="30"/>
      <w:szCs w:val="20"/>
    </w:rPr>
  </w:style>
  <w:style w:type="paragraph" w:customStyle="1" w:styleId="540">
    <w:name w:val="font5"/>
    <w:basedOn w:val="1"/>
    <w:qFormat/>
    <w:uiPriority w:val="99"/>
    <w:pPr>
      <w:widowControl/>
      <w:spacing w:before="100" w:beforeAutospacing="1" w:after="100" w:afterAutospacing="1"/>
      <w:jc w:val="left"/>
    </w:pPr>
    <w:rPr>
      <w:rFonts w:ascii="宋体" w:hAnsi="宋体" w:cs="Arial Unicode MS"/>
      <w:sz w:val="20"/>
      <w:szCs w:val="20"/>
    </w:rPr>
  </w:style>
  <w:style w:type="paragraph" w:customStyle="1" w:styleId="541">
    <w:name w:val="xl5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542">
    <w:name w:val="xl94"/>
    <w:basedOn w:val="1"/>
    <w:qFormat/>
    <w:uiPriority w:val="0"/>
    <w:pPr>
      <w:widowControl/>
      <w:spacing w:before="100" w:beforeAutospacing="1" w:after="100" w:afterAutospacing="1"/>
      <w:jc w:val="left"/>
    </w:pPr>
    <w:rPr>
      <w:rFonts w:ascii="楷体_GB2312" w:hAnsi="宋体" w:eastAsia="楷体_GB2312" w:cs="宋体"/>
      <w:b/>
      <w:bCs/>
    </w:rPr>
  </w:style>
  <w:style w:type="paragraph" w:customStyle="1" w:styleId="543">
    <w:name w:val="Default Paragraph Char Char Char Char"/>
    <w:basedOn w:val="1"/>
    <w:next w:val="1"/>
    <w:qFormat/>
    <w:uiPriority w:val="0"/>
    <w:pPr>
      <w:widowControl/>
      <w:jc w:val="left"/>
    </w:pPr>
    <w:rPr>
      <w:szCs w:val="20"/>
      <w:lang w:eastAsia="en-US"/>
    </w:rPr>
  </w:style>
  <w:style w:type="paragraph" w:customStyle="1" w:styleId="544">
    <w:name w:val="标题 3_0"/>
    <w:basedOn w:val="437"/>
    <w:next w:val="437"/>
    <w:qFormat/>
    <w:uiPriority w:val="0"/>
    <w:pPr>
      <w:keepNext/>
      <w:keepLines/>
      <w:spacing w:before="260" w:after="260" w:line="413" w:lineRule="auto"/>
      <w:outlineLvl w:val="2"/>
    </w:pPr>
    <w:rPr>
      <w:rFonts w:ascii="Times New Roman" w:hAnsi="Times New Roman"/>
      <w:b/>
      <w:bCs/>
      <w:sz w:val="32"/>
      <w:szCs w:val="32"/>
    </w:rPr>
  </w:style>
  <w:style w:type="paragraph" w:customStyle="1" w:styleId="545">
    <w:name w:val="Char14 Char Char Char"/>
    <w:basedOn w:val="1"/>
    <w:qFormat/>
    <w:uiPriority w:val="99"/>
    <w:rPr>
      <w:szCs w:val="20"/>
    </w:rPr>
  </w:style>
  <w:style w:type="paragraph" w:customStyle="1" w:styleId="546">
    <w:name w:val="xl109"/>
    <w:basedOn w:val="1"/>
    <w:qFormat/>
    <w:uiPriority w:val="0"/>
    <w:pPr>
      <w:widowControl/>
      <w:pBdr>
        <w:top w:val="single" w:color="000000" w:sz="8" w:space="0"/>
      </w:pBdr>
      <w:spacing w:before="100" w:beforeAutospacing="1" w:after="100" w:afterAutospacing="1"/>
      <w:jc w:val="left"/>
    </w:pPr>
    <w:rPr>
      <w:rFonts w:ascii="宋体" w:hAnsi="宋体" w:cs="宋体"/>
      <w:color w:val="000000"/>
    </w:rPr>
  </w:style>
  <w:style w:type="paragraph" w:customStyle="1" w:styleId="547">
    <w:name w:val="TOC 标题_0"/>
    <w:basedOn w:val="523"/>
    <w:next w:val="437"/>
    <w:qFormat/>
    <w:uiPriority w:val="0"/>
    <w:pPr>
      <w:outlineLvl w:val="9"/>
    </w:pPr>
    <w:rPr>
      <w:rFonts w:ascii="Calibri" w:hAnsi="Calibri"/>
    </w:rPr>
  </w:style>
  <w:style w:type="paragraph" w:customStyle="1" w:styleId="548">
    <w:name w:val="xl31"/>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rPr>
  </w:style>
  <w:style w:type="paragraph" w:customStyle="1" w:styleId="549">
    <w:name w:val="xl71"/>
    <w:basedOn w:val="1"/>
    <w:qFormat/>
    <w:uiPriority w:val="0"/>
    <w:pPr>
      <w:widowControl/>
      <w:pBdr>
        <w:top w:val="single" w:color="000000" w:sz="8" w:space="0"/>
      </w:pBdr>
      <w:spacing w:before="100" w:beforeAutospacing="1" w:after="100" w:afterAutospacing="1"/>
      <w:jc w:val="left"/>
    </w:pPr>
    <w:rPr>
      <w:rFonts w:ascii="宋体" w:hAnsi="宋体" w:cs="宋体"/>
    </w:rPr>
  </w:style>
  <w:style w:type="paragraph" w:customStyle="1" w:styleId="550">
    <w:name w:val="正文文本_0"/>
    <w:basedOn w:val="437"/>
    <w:qFormat/>
    <w:uiPriority w:val="0"/>
    <w:pPr>
      <w:spacing w:after="60" w:line="360" w:lineRule="atLeast"/>
      <w:ind w:left="72" w:right="30"/>
      <w:jc w:val="center"/>
    </w:pPr>
    <w:rPr>
      <w:rFonts w:ascii="Times New Roman" w:hAnsi="Times New Roman"/>
      <w:sz w:val="20"/>
      <w:szCs w:val="20"/>
    </w:rPr>
  </w:style>
  <w:style w:type="paragraph" w:customStyle="1" w:styleId="551">
    <w:name w:val="TOC 标题2"/>
    <w:basedOn w:val="193"/>
    <w:next w:val="1"/>
    <w:qFormat/>
    <w:uiPriority w:val="0"/>
    <w:pPr>
      <w:spacing w:before="340" w:after="330" w:line="578" w:lineRule="auto"/>
      <w:jc w:val="both"/>
      <w:outlineLvl w:val="9"/>
    </w:pPr>
    <w:rPr>
      <w:sz w:val="44"/>
    </w:rPr>
  </w:style>
  <w:style w:type="paragraph" w:customStyle="1" w:styleId="552">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rPr>
  </w:style>
  <w:style w:type="paragraph" w:customStyle="1" w:styleId="553">
    <w:name w:val="列出段落21"/>
    <w:basedOn w:val="1"/>
    <w:qFormat/>
    <w:uiPriority w:val="0"/>
    <w:pPr>
      <w:ind w:firstLine="420"/>
    </w:pPr>
    <w:rPr>
      <w:rFonts w:ascii="Calibri" w:hAnsi="Calibri"/>
      <w:szCs w:val="22"/>
    </w:rPr>
  </w:style>
  <w:style w:type="paragraph" w:customStyle="1" w:styleId="554">
    <w:name w:val="样式 标题 3 + (中文) 黑体 小四 非加粗 段前: 7.8 磅 段后: 0 磅 行距: 固定值 20 磅"/>
    <w:basedOn w:val="198"/>
    <w:qFormat/>
    <w:uiPriority w:val="0"/>
    <w:pPr>
      <w:tabs>
        <w:tab w:val="left" w:pos="720"/>
      </w:tabs>
      <w:spacing w:line="400" w:lineRule="exact"/>
    </w:pPr>
    <w:rPr>
      <w:rFonts w:eastAsia="黑体"/>
      <w:b/>
      <w:bCs w:val="0"/>
      <w:szCs w:val="20"/>
    </w:rPr>
  </w:style>
  <w:style w:type="paragraph" w:customStyle="1" w:styleId="555">
    <w:name w:val="空半行"/>
    <w:basedOn w:val="1"/>
    <w:qFormat/>
    <w:uiPriority w:val="0"/>
    <w:pPr>
      <w:spacing w:line="120" w:lineRule="exact"/>
    </w:pPr>
    <w:rPr>
      <w:rFonts w:eastAsia="仿宋_GB2312"/>
      <w:color w:val="FFFFFF"/>
      <w:sz w:val="30"/>
      <w:szCs w:val="20"/>
    </w:rPr>
  </w:style>
  <w:style w:type="paragraph" w:customStyle="1" w:styleId="556">
    <w:name w:val="纯文本1"/>
    <w:basedOn w:val="1"/>
    <w:qFormat/>
    <w:uiPriority w:val="0"/>
    <w:rPr>
      <w:rFonts w:ascii="宋体" w:hAnsi="Courier New"/>
      <w:sz w:val="28"/>
    </w:rPr>
  </w:style>
  <w:style w:type="paragraph" w:customStyle="1" w:styleId="557">
    <w:name w:val="普通正文"/>
    <w:basedOn w:val="1"/>
    <w:qFormat/>
    <w:uiPriority w:val="0"/>
    <w:pPr>
      <w:spacing w:before="120" w:after="120"/>
      <w:ind w:firstLine="480"/>
      <w:jc w:val="left"/>
    </w:pPr>
    <w:rPr>
      <w:rFonts w:ascii="Arial" w:hAnsi="Arial"/>
    </w:rPr>
  </w:style>
  <w:style w:type="paragraph" w:customStyle="1" w:styleId="558">
    <w:name w:val="Table Paragraph"/>
    <w:basedOn w:val="1"/>
    <w:qFormat/>
    <w:uiPriority w:val="1"/>
    <w:pPr>
      <w:jc w:val="left"/>
    </w:pPr>
  </w:style>
  <w:style w:type="paragraph" w:customStyle="1" w:styleId="559">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560">
    <w:name w:val="纯文本21"/>
    <w:basedOn w:val="1"/>
    <w:qFormat/>
    <w:uiPriority w:val="99"/>
    <w:rPr>
      <w:rFonts w:ascii="宋体" w:hAnsi="Courier New" w:eastAsia="楷体_GB2312"/>
      <w:sz w:val="26"/>
      <w:szCs w:val="20"/>
    </w:rPr>
  </w:style>
  <w:style w:type="paragraph" w:customStyle="1" w:styleId="561">
    <w:name w:val="WPSOffice手动目录 1"/>
    <w:qFormat/>
    <w:uiPriority w:val="0"/>
    <w:rPr>
      <w:rFonts w:hint="default" w:ascii="Times New Roman" w:hAnsi="Times New Roman" w:eastAsia="宋体" w:cs="Times New Roman"/>
      <w:lang w:val="en-US" w:eastAsia="zh-CN" w:bidi="ar-SA"/>
    </w:rPr>
  </w:style>
  <w:style w:type="paragraph" w:customStyle="1" w:styleId="562">
    <w:name w:val="Body text|1"/>
    <w:basedOn w:val="1"/>
    <w:qFormat/>
    <w:uiPriority w:val="0"/>
    <w:pPr>
      <w:spacing w:line="425" w:lineRule="auto"/>
    </w:pPr>
    <w:rPr>
      <w:rFonts w:ascii="宋体" w:hAnsi="宋体" w:cs="宋体"/>
      <w:sz w:val="22"/>
      <w:szCs w:val="22"/>
      <w:lang w:val="zh-TW" w:eastAsia="zh-TW" w:bidi="zh-TW"/>
    </w:rPr>
  </w:style>
  <w:style w:type="character" w:customStyle="1" w:styleId="563">
    <w:name w:val="NormalCharacter"/>
    <w:semiHidden/>
    <w:qFormat/>
    <w:uiPriority w:val="0"/>
  </w:style>
  <w:style w:type="paragraph" w:customStyle="1" w:styleId="564">
    <w:name w:val="正文1"/>
    <w:qFormat/>
    <w:uiPriority w:val="0"/>
    <w:pPr>
      <w:widowControl w:val="0"/>
      <w:jc w:val="both"/>
    </w:pPr>
    <w:rPr>
      <w:rFonts w:hint="eastAsia" w:ascii="Arial Unicode MS" w:hAnsi="Arial Unicode MS" w:eastAsia="Times New Roman" w:cs="Arial Unicode MS"/>
      <w:color w:val="000000"/>
      <w:sz w:val="21"/>
      <w:szCs w:val="21"/>
      <w:lang w:val="en-US" w:eastAsia="zh-CN" w:bidi="ar-SA"/>
    </w:rPr>
  </w:style>
  <w:style w:type="paragraph" w:customStyle="1" w:styleId="565">
    <w:name w:val="页眉与页脚"/>
    <w:qFormat/>
    <w:uiPriority w:val="0"/>
    <w:pPr>
      <w:tabs>
        <w:tab w:val="right" w:pos="9020"/>
      </w:tabs>
    </w:pPr>
    <w:rPr>
      <w:rFonts w:hint="default" w:ascii="Helvetica" w:hAnsi="Arial Unicode MS" w:eastAsia="宋体" w:cs="Arial Unicode MS"/>
      <w:color w:val="000000"/>
      <w:sz w:val="24"/>
      <w:szCs w:val="24"/>
      <w:lang w:val="en-US" w:eastAsia="zh-CN" w:bidi="ar-SA"/>
    </w:rPr>
  </w:style>
  <w:style w:type="paragraph" w:customStyle="1" w:styleId="566">
    <w:name w:val="正文首行缩进1"/>
    <w:qFormat/>
    <w:uiPriority w:val="0"/>
    <w:pPr>
      <w:widowControl w:val="0"/>
      <w:spacing w:after="120"/>
      <w:ind w:firstLine="420"/>
      <w:jc w:val="both"/>
    </w:pPr>
    <w:rPr>
      <w:rFonts w:hint="default" w:ascii="Times New Roman" w:hAnsi="Times New Roman" w:eastAsia="Times New Roman" w:cs="Times New Roman"/>
      <w:color w:val="000000"/>
      <w:sz w:val="21"/>
      <w:szCs w:val="21"/>
      <w:lang w:val="en-US" w:eastAsia="zh-CN" w:bidi="ar-SA"/>
    </w:rPr>
  </w:style>
  <w:style w:type="character" w:customStyle="1" w:styleId="567">
    <w:name w:val="批注框文本 Char2"/>
    <w:basedOn w:val="43"/>
    <w:link w:val="25"/>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25F62B-3325-4BF3-8617-0EBB84FF4304}">
  <ds:schemaRefs/>
</ds:datastoreItem>
</file>

<file path=docProps/app.xml><?xml version="1.0" encoding="utf-8"?>
<Properties xmlns="http://schemas.openxmlformats.org/officeDocument/2006/extended-properties" xmlns:vt="http://schemas.openxmlformats.org/officeDocument/2006/docPropsVTypes">
  <Template>Normal</Template>
  <Company>xt256</Company>
  <Pages>71</Pages>
  <Words>1689</Words>
  <Characters>1899</Characters>
  <TotalTime>4</TotalTime>
  <ScaleCrop>false</ScaleCrop>
  <LinksUpToDate>false</LinksUpToDate>
  <CharactersWithSpaces>1938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2018-07-03T03:23:00Z</dcterms:created>
  <dc:creator>ZZ</dc:creator>
  <cp:lastModifiedBy>平安就好</cp:lastModifiedBy>
  <dcterms:modified xsi:type="dcterms:W3CDTF">2025-11-13T08:19:54Z</dcterms:modified>
  <dc:title>附件</dc:title>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69CC46F99A4B439C894435C272F31465_13</vt:lpwstr>
  </property>
  <property fmtid="{D5CDD505-2E9C-101B-9397-08002B2CF9AE}" pid="4" name="KSOTemplateDocerSaveRecord">
    <vt:lpwstr>eyJoZGlkIjoiZGExYTYzZmQ5NDhhNDBhODQ2NDcxZDBlNDU4ZmI0MGUiLCJ1c2VySWQiOiI5NDIzMzE5NzYifQ==</vt:lpwstr>
  </property>
</Properties>
</file>